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64" w:rsidRPr="008340DE" w:rsidRDefault="008340DE" w:rsidP="0069511A">
      <w:pPr>
        <w:pStyle w:val="aa"/>
        <w:spacing w:before="0"/>
        <w:jc w:val="left"/>
        <w:rPr>
          <w:rFonts w:ascii="Times New Roman" w:hAnsi="Times New Roman"/>
          <w:color w:val="auto"/>
          <w:sz w:val="20"/>
          <w:lang w:val="en-US"/>
        </w:rPr>
      </w:pPr>
      <w:r>
        <w:rPr>
          <w:rFonts w:ascii="Times New Roman" w:hAnsi="Times New Roman"/>
          <w:i/>
          <w:noProof/>
          <w:color w:val="auto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-109855</wp:posOffset>
            </wp:positionV>
            <wp:extent cx="2286000" cy="1181100"/>
            <wp:effectExtent l="19050" t="0" r="0" b="0"/>
            <wp:wrapNone/>
            <wp:docPr id="5" name="Рисунок 5" descr="KB-GI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B-GI%20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D64" w:rsidRPr="008340DE" w:rsidRDefault="00A07805" w:rsidP="0069511A">
      <w:pPr>
        <w:pStyle w:val="aa"/>
        <w:spacing w:before="0"/>
        <w:jc w:val="left"/>
        <w:rPr>
          <w:rFonts w:ascii="Times New Roman" w:hAnsi="Times New Roman"/>
          <w:color w:val="auto"/>
          <w:sz w:val="20"/>
          <w:lang w:val="en-US"/>
        </w:rPr>
      </w:pPr>
    </w:p>
    <w:p w:rsidR="00245991" w:rsidRDefault="00A07805" w:rsidP="00575D52">
      <w:pPr>
        <w:pStyle w:val="aa"/>
        <w:spacing w:before="0"/>
        <w:ind w:left="11482"/>
        <w:jc w:val="left"/>
        <w:rPr>
          <w:rFonts w:ascii="Times New Roman" w:hAnsi="Times New Roman"/>
          <w:i/>
          <w:color w:val="auto"/>
          <w:szCs w:val="16"/>
        </w:rPr>
      </w:pPr>
    </w:p>
    <w:p w:rsidR="008340DE" w:rsidRPr="008340DE" w:rsidRDefault="008340DE" w:rsidP="008340DE">
      <w:pPr>
        <w:pStyle w:val="aa"/>
        <w:spacing w:before="0"/>
        <w:ind w:left="11482"/>
        <w:jc w:val="center"/>
        <w:rPr>
          <w:rFonts w:ascii="Times New Roman" w:hAnsi="Times New Roman"/>
          <w:i/>
          <w:color w:val="auto"/>
          <w:szCs w:val="16"/>
        </w:rPr>
      </w:pPr>
    </w:p>
    <w:p w:rsidR="008340DE" w:rsidRPr="008340DE" w:rsidRDefault="008340DE" w:rsidP="00575D52">
      <w:pPr>
        <w:pStyle w:val="aa"/>
        <w:spacing w:before="0"/>
        <w:ind w:left="11482"/>
        <w:jc w:val="left"/>
        <w:rPr>
          <w:rFonts w:ascii="Times New Roman" w:hAnsi="Times New Roman"/>
          <w:i/>
          <w:color w:val="auto"/>
          <w:szCs w:val="16"/>
        </w:rPr>
      </w:pPr>
    </w:p>
    <w:p w:rsidR="008340DE" w:rsidRDefault="008340DE" w:rsidP="00575D52">
      <w:pPr>
        <w:widowControl w:val="0"/>
        <w:suppressAutoHyphens/>
        <w:spacing w:before="240"/>
        <w:jc w:val="center"/>
        <w:rPr>
          <w:b/>
          <w:sz w:val="28"/>
          <w:szCs w:val="28"/>
        </w:rPr>
      </w:pPr>
    </w:p>
    <w:p w:rsidR="008340DE" w:rsidRDefault="008340DE" w:rsidP="00575D52">
      <w:pPr>
        <w:widowControl w:val="0"/>
        <w:suppressAutoHyphens/>
        <w:spacing w:before="240"/>
        <w:jc w:val="center"/>
        <w:rPr>
          <w:b/>
          <w:sz w:val="28"/>
          <w:szCs w:val="28"/>
        </w:rPr>
      </w:pPr>
    </w:p>
    <w:p w:rsidR="00575D52" w:rsidRPr="008340DE" w:rsidRDefault="00924A6A" w:rsidP="00575D52">
      <w:pPr>
        <w:widowControl w:val="0"/>
        <w:suppressAutoHyphens/>
        <w:spacing w:before="240"/>
        <w:jc w:val="center"/>
        <w:rPr>
          <w:b/>
          <w:sz w:val="28"/>
          <w:szCs w:val="28"/>
        </w:rPr>
      </w:pPr>
      <w:r w:rsidRPr="008340DE">
        <w:rPr>
          <w:b/>
          <w:sz w:val="28"/>
          <w:szCs w:val="28"/>
        </w:rPr>
        <w:t>Лимиты</w:t>
      </w:r>
      <w:r w:rsidR="008340DE" w:rsidRPr="008340DE">
        <w:rPr>
          <w:b/>
          <w:sz w:val="28"/>
          <w:szCs w:val="28"/>
        </w:rPr>
        <w:t xml:space="preserve"> </w:t>
      </w:r>
      <w:r w:rsidR="008340DE" w:rsidRPr="008340DE">
        <w:rPr>
          <w:b/>
        </w:rPr>
        <w:t>(ограничения)</w:t>
      </w:r>
    </w:p>
    <w:p w:rsidR="008340DE" w:rsidRDefault="008340DE" w:rsidP="008340DE">
      <w:pPr>
        <w:widowControl w:val="0"/>
        <w:suppressAutoHyphens/>
        <w:jc w:val="center"/>
        <w:rPr>
          <w:b/>
        </w:rPr>
      </w:pPr>
      <w:r>
        <w:rPr>
          <w:b/>
        </w:rPr>
        <w:t>н</w:t>
      </w:r>
      <w:r w:rsidR="00924A6A" w:rsidRPr="008340DE">
        <w:rPr>
          <w:b/>
        </w:rPr>
        <w:t>а</w:t>
      </w:r>
      <w:r>
        <w:rPr>
          <w:b/>
        </w:rPr>
        <w:t xml:space="preserve"> </w:t>
      </w:r>
      <w:r w:rsidR="00924A6A" w:rsidRPr="008340DE">
        <w:rPr>
          <w:b/>
        </w:rPr>
        <w:t xml:space="preserve">«Обслуживание операций на </w:t>
      </w:r>
      <w:r w:rsidRPr="008340DE">
        <w:rPr>
          <w:b/>
        </w:rPr>
        <w:t>интернет</w:t>
      </w:r>
      <w:r w:rsidR="006D51C5">
        <w:rPr>
          <w:b/>
        </w:rPr>
        <w:t>-сайте</w:t>
      </w:r>
      <w:r w:rsidRPr="008340DE">
        <w:rPr>
          <w:b/>
        </w:rPr>
        <w:t xml:space="preserve"> КБ «Гарант-Инвест»</w:t>
      </w:r>
      <w:r>
        <w:rPr>
          <w:b/>
        </w:rPr>
        <w:t xml:space="preserve"> </w:t>
      </w:r>
      <w:r w:rsidRPr="008340DE">
        <w:rPr>
          <w:b/>
        </w:rPr>
        <w:t>(АО)</w:t>
      </w:r>
      <w:r w:rsidR="00924A6A" w:rsidRPr="008340DE">
        <w:rPr>
          <w:b/>
        </w:rPr>
        <w:t xml:space="preserve"> по </w:t>
      </w:r>
      <w:r>
        <w:rPr>
          <w:b/>
        </w:rPr>
        <w:t xml:space="preserve">банковским </w:t>
      </w:r>
      <w:r w:rsidR="00924A6A" w:rsidRPr="008340DE">
        <w:rPr>
          <w:b/>
        </w:rPr>
        <w:t xml:space="preserve">картам, </w:t>
      </w:r>
    </w:p>
    <w:p w:rsidR="00245991" w:rsidRPr="008340DE" w:rsidRDefault="00924A6A" w:rsidP="008340DE">
      <w:pPr>
        <w:widowControl w:val="0"/>
        <w:suppressAutoHyphens/>
        <w:jc w:val="center"/>
        <w:rPr>
          <w:b/>
        </w:rPr>
      </w:pPr>
      <w:r w:rsidRPr="008340DE">
        <w:rPr>
          <w:b/>
        </w:rPr>
        <w:t xml:space="preserve">эмитированным </w:t>
      </w:r>
      <w:r w:rsidR="008340DE" w:rsidRPr="008340DE">
        <w:rPr>
          <w:b/>
        </w:rPr>
        <w:t>КБ «Гарант-Инвест»</w:t>
      </w:r>
      <w:r w:rsidR="008340DE">
        <w:rPr>
          <w:b/>
        </w:rPr>
        <w:t xml:space="preserve"> </w:t>
      </w:r>
      <w:r w:rsidR="008340DE" w:rsidRPr="008340DE">
        <w:rPr>
          <w:b/>
        </w:rPr>
        <w:t>(АО) и другими кредитными организациями</w:t>
      </w:r>
      <w:r w:rsidRPr="008340DE">
        <w:rPr>
          <w:b/>
          <w:bCs/>
        </w:rPr>
        <w:t xml:space="preserve">» </w:t>
      </w:r>
      <w:r w:rsidRPr="008340DE">
        <w:rPr>
          <w:b/>
          <w:vertAlign w:val="superscript"/>
        </w:rPr>
        <w:t xml:space="preserve"> </w:t>
      </w:r>
    </w:p>
    <w:p w:rsidR="00504724" w:rsidRPr="008340DE" w:rsidRDefault="00A07805" w:rsidP="00EE2551">
      <w:pPr>
        <w:widowControl w:val="0"/>
        <w:suppressAutoHyphens/>
        <w:spacing w:after="200"/>
        <w:jc w:val="center"/>
        <w:rPr>
          <w:b/>
          <w:vertAlign w:val="superscript"/>
        </w:rPr>
      </w:pPr>
    </w:p>
    <w:tbl>
      <w:tblPr>
        <w:tblW w:w="4965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1E0"/>
      </w:tblPr>
      <w:tblGrid>
        <w:gridCol w:w="786"/>
        <w:gridCol w:w="4513"/>
        <w:gridCol w:w="1363"/>
        <w:gridCol w:w="345"/>
        <w:gridCol w:w="1235"/>
        <w:gridCol w:w="1796"/>
        <w:gridCol w:w="1793"/>
        <w:gridCol w:w="1708"/>
        <w:gridCol w:w="893"/>
        <w:gridCol w:w="814"/>
      </w:tblGrid>
      <w:tr w:rsidR="00011FC7" w:rsidRPr="008340DE" w:rsidTr="00504724">
        <w:trPr>
          <w:trHeight w:val="216"/>
        </w:trPr>
        <w:tc>
          <w:tcPr>
            <w:tcW w:w="258" w:type="pct"/>
            <w:vMerge w:val="restart"/>
            <w:shd w:val="pct20" w:color="C0C0C0" w:fill="FFFFFF"/>
            <w:vAlign w:val="center"/>
          </w:tcPr>
          <w:p w:rsidR="00504724" w:rsidRPr="008340DE" w:rsidRDefault="00924A6A" w:rsidP="001D1AA9">
            <w:pPr>
              <w:widowControl w:val="0"/>
              <w:suppressAutoHyphens/>
              <w:jc w:val="center"/>
              <w:rPr>
                <w:b/>
                <w:bCs/>
                <w:caps/>
                <w:sz w:val="12"/>
                <w:szCs w:val="12"/>
              </w:rPr>
            </w:pPr>
            <w:r w:rsidRPr="008340DE">
              <w:rPr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1480" w:type="pct"/>
            <w:vMerge w:val="restart"/>
            <w:shd w:val="pct20" w:color="C0C0C0" w:fill="FFFFFF"/>
            <w:vAlign w:val="center"/>
          </w:tcPr>
          <w:p w:rsidR="00504724" w:rsidRPr="008340DE" w:rsidRDefault="00924A6A" w:rsidP="001D1AA9">
            <w:pPr>
              <w:pStyle w:val="3"/>
              <w:keepNext w:val="0"/>
              <w:widowControl w:val="0"/>
              <w:suppressAutoHyphens/>
              <w:spacing w:after="0"/>
              <w:rPr>
                <w:caps/>
                <w:sz w:val="12"/>
                <w:szCs w:val="12"/>
              </w:rPr>
            </w:pPr>
            <w:r w:rsidRPr="008340DE">
              <w:rPr>
                <w:sz w:val="12"/>
                <w:szCs w:val="12"/>
              </w:rPr>
              <w:t>ПЕРЕЧЕНЬ УСЛУГ И УСЛОВИЙ ОБСЛУЖИВАНИЯ</w:t>
            </w:r>
          </w:p>
        </w:tc>
        <w:tc>
          <w:tcPr>
            <w:tcW w:w="447" w:type="pct"/>
            <w:vMerge w:val="restart"/>
            <w:shd w:val="pct20" w:color="C0C0C0" w:fill="FFFFFF"/>
            <w:vAlign w:val="center"/>
          </w:tcPr>
          <w:p w:rsidR="00504724" w:rsidRPr="008340DE" w:rsidRDefault="00924A6A" w:rsidP="001D1AA9">
            <w:pPr>
              <w:widowControl w:val="0"/>
              <w:suppressAutoHyphens/>
              <w:jc w:val="center"/>
              <w:rPr>
                <w:b/>
                <w:bCs/>
                <w:caps/>
                <w:sz w:val="12"/>
                <w:szCs w:val="12"/>
              </w:rPr>
            </w:pPr>
            <w:r w:rsidRPr="008340DE">
              <w:rPr>
                <w:b/>
                <w:bCs/>
                <w:sz w:val="12"/>
                <w:szCs w:val="12"/>
              </w:rPr>
              <w:t xml:space="preserve">ВАЛЮТА ОПЕРАЦИИ </w:t>
            </w:r>
          </w:p>
          <w:p w:rsidR="00504724" w:rsidRPr="008340DE" w:rsidRDefault="00924A6A" w:rsidP="001D1AA9">
            <w:pPr>
              <w:widowControl w:val="0"/>
              <w:suppressAutoHyphens/>
              <w:jc w:val="center"/>
              <w:rPr>
                <w:b/>
                <w:bCs/>
                <w:caps/>
                <w:sz w:val="12"/>
                <w:szCs w:val="12"/>
              </w:rPr>
            </w:pPr>
            <w:r w:rsidRPr="008340DE">
              <w:rPr>
                <w:b/>
                <w:bCs/>
                <w:sz w:val="12"/>
                <w:szCs w:val="12"/>
              </w:rPr>
              <w:t>(</w:t>
            </w:r>
            <w:r w:rsidRPr="008340DE">
              <w:rPr>
                <w:b/>
                <w:bCs/>
                <w:sz w:val="12"/>
                <w:szCs w:val="12"/>
                <w:lang w:val="en-US"/>
              </w:rPr>
              <w:t>RUR</w:t>
            </w:r>
            <w:r w:rsidRPr="008340DE">
              <w:rPr>
                <w:b/>
                <w:bCs/>
                <w:sz w:val="12"/>
                <w:szCs w:val="12"/>
              </w:rPr>
              <w:t xml:space="preserve">, </w:t>
            </w:r>
            <w:r w:rsidRPr="008340DE">
              <w:rPr>
                <w:b/>
                <w:bCs/>
                <w:sz w:val="12"/>
                <w:szCs w:val="12"/>
                <w:lang w:val="en-US"/>
              </w:rPr>
              <w:t>USD</w:t>
            </w:r>
            <w:r w:rsidRPr="008340DE">
              <w:rPr>
                <w:b/>
                <w:bCs/>
                <w:sz w:val="12"/>
                <w:szCs w:val="12"/>
              </w:rPr>
              <w:t xml:space="preserve">, </w:t>
            </w:r>
            <w:r w:rsidRPr="008340DE">
              <w:rPr>
                <w:b/>
                <w:bCs/>
                <w:sz w:val="12"/>
                <w:szCs w:val="12"/>
                <w:lang w:val="en-US"/>
              </w:rPr>
              <w:t>EUR</w:t>
            </w:r>
            <w:r w:rsidRPr="008340DE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518" w:type="pct"/>
            <w:gridSpan w:val="2"/>
            <w:vMerge w:val="restart"/>
            <w:shd w:val="pct20" w:color="C0C0C0" w:fill="FFFFFF"/>
            <w:vAlign w:val="center"/>
          </w:tcPr>
          <w:p w:rsidR="00504724" w:rsidRPr="008340DE" w:rsidRDefault="00924A6A" w:rsidP="001D1AA9">
            <w:pPr>
              <w:widowControl w:val="0"/>
              <w:suppressAutoHyphens/>
              <w:jc w:val="center"/>
              <w:rPr>
                <w:b/>
                <w:bCs/>
                <w:caps/>
                <w:sz w:val="12"/>
                <w:szCs w:val="12"/>
              </w:rPr>
            </w:pPr>
            <w:r w:rsidRPr="008340DE">
              <w:rPr>
                <w:b/>
                <w:bCs/>
                <w:sz w:val="12"/>
                <w:szCs w:val="12"/>
              </w:rPr>
              <w:t xml:space="preserve">РАЗМЕР ЛИМИТА НА ОДНУ ОПЕРАЦИЮ </w:t>
            </w:r>
            <w:r w:rsidRPr="008340DE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89" w:type="pct"/>
            <w:vMerge w:val="restart"/>
            <w:shd w:val="pct20" w:color="C0C0C0" w:fill="FFFFFF"/>
            <w:vAlign w:val="center"/>
          </w:tcPr>
          <w:p w:rsidR="00504724" w:rsidRPr="008340DE" w:rsidRDefault="00924A6A" w:rsidP="002B6342">
            <w:pPr>
              <w:widowControl w:val="0"/>
              <w:suppressAutoHyphens/>
              <w:jc w:val="center"/>
              <w:rPr>
                <w:b/>
                <w:bCs/>
                <w:caps/>
                <w:sz w:val="12"/>
                <w:szCs w:val="12"/>
              </w:rPr>
            </w:pPr>
            <w:r w:rsidRPr="008340DE">
              <w:rPr>
                <w:b/>
                <w:bCs/>
                <w:sz w:val="12"/>
                <w:szCs w:val="12"/>
              </w:rPr>
              <w:t>СПОСОБ ВЗИМАНИЯ КОМИССИИ</w:t>
            </w:r>
          </w:p>
        </w:tc>
        <w:tc>
          <w:tcPr>
            <w:tcW w:w="588" w:type="pct"/>
            <w:vMerge w:val="restart"/>
            <w:shd w:val="pct20" w:color="C0C0C0" w:fill="FFFFFF"/>
            <w:vAlign w:val="center"/>
          </w:tcPr>
          <w:p w:rsidR="00504724" w:rsidRPr="008340DE" w:rsidRDefault="00924A6A" w:rsidP="002B6342">
            <w:pPr>
              <w:widowControl w:val="0"/>
              <w:suppressAutoHyphens/>
              <w:jc w:val="center"/>
              <w:rPr>
                <w:b/>
                <w:bCs/>
                <w:sz w:val="12"/>
                <w:szCs w:val="12"/>
              </w:rPr>
            </w:pPr>
            <w:r w:rsidRPr="008340DE">
              <w:rPr>
                <w:b/>
                <w:bCs/>
                <w:sz w:val="12"/>
                <w:szCs w:val="12"/>
              </w:rPr>
              <w:t>МАКСИМАЛЬНАЯ СОВОКУПНАЯ СУММА ОПЕРАЦИЙ ЗА МЕСЯЦ</w:t>
            </w:r>
          </w:p>
        </w:tc>
        <w:tc>
          <w:tcPr>
            <w:tcW w:w="560" w:type="pct"/>
            <w:vMerge w:val="restart"/>
            <w:shd w:val="pct20" w:color="C0C0C0" w:fill="FFFFFF"/>
            <w:vAlign w:val="center"/>
          </w:tcPr>
          <w:p w:rsidR="00504724" w:rsidRPr="008340DE" w:rsidRDefault="00924A6A" w:rsidP="00504724">
            <w:pPr>
              <w:widowControl w:val="0"/>
              <w:suppressAutoHyphens/>
              <w:jc w:val="center"/>
              <w:rPr>
                <w:b/>
                <w:bCs/>
                <w:sz w:val="12"/>
                <w:szCs w:val="12"/>
              </w:rPr>
            </w:pPr>
            <w:r w:rsidRPr="008340DE">
              <w:rPr>
                <w:b/>
                <w:bCs/>
                <w:sz w:val="12"/>
                <w:szCs w:val="12"/>
              </w:rPr>
              <w:t>МАКСИМАЛЬНАЯ СОВОКУПНАЯ СУММА ОПЕРАЦИЙ ЗА ДЕНЬ</w:t>
            </w:r>
          </w:p>
        </w:tc>
        <w:tc>
          <w:tcPr>
            <w:tcW w:w="560" w:type="pct"/>
            <w:gridSpan w:val="2"/>
            <w:shd w:val="pct20" w:color="C0C0C0" w:fill="FFFFFF"/>
          </w:tcPr>
          <w:p w:rsidR="00504724" w:rsidRPr="008340DE" w:rsidRDefault="00924A6A" w:rsidP="001D1AA9">
            <w:pPr>
              <w:widowControl w:val="0"/>
              <w:suppressAutoHyphens/>
              <w:jc w:val="center"/>
              <w:rPr>
                <w:b/>
                <w:bCs/>
                <w:sz w:val="12"/>
                <w:szCs w:val="12"/>
              </w:rPr>
            </w:pPr>
            <w:r w:rsidRPr="008340DE">
              <w:rPr>
                <w:b/>
                <w:bCs/>
                <w:sz w:val="12"/>
                <w:szCs w:val="12"/>
              </w:rPr>
              <w:t>МАКСИМАЛЬНОЕ КОЛИЧЕСТВО ОПЕРАЦИЙ</w:t>
            </w:r>
          </w:p>
        </w:tc>
      </w:tr>
      <w:tr w:rsidR="00011FC7" w:rsidRPr="008340DE" w:rsidTr="00504724">
        <w:trPr>
          <w:trHeight w:val="216"/>
        </w:trPr>
        <w:tc>
          <w:tcPr>
            <w:tcW w:w="258" w:type="pct"/>
            <w:vMerge/>
            <w:shd w:val="pct20" w:color="C0C0C0" w:fill="FFFFFF"/>
            <w:vAlign w:val="center"/>
          </w:tcPr>
          <w:p w:rsidR="00504724" w:rsidRPr="008340DE" w:rsidRDefault="00A07805" w:rsidP="001D1AA9">
            <w:pPr>
              <w:widowControl w:val="0"/>
              <w:suppressAutoHyphens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80" w:type="pct"/>
            <w:vMerge/>
            <w:shd w:val="pct20" w:color="C0C0C0" w:fill="FFFFFF"/>
            <w:vAlign w:val="center"/>
          </w:tcPr>
          <w:p w:rsidR="00504724" w:rsidRPr="008340DE" w:rsidRDefault="00A07805" w:rsidP="001D1AA9">
            <w:pPr>
              <w:pStyle w:val="3"/>
              <w:keepNext w:val="0"/>
              <w:widowControl w:val="0"/>
              <w:suppressAutoHyphens/>
              <w:spacing w:after="0"/>
              <w:rPr>
                <w:sz w:val="12"/>
                <w:szCs w:val="12"/>
              </w:rPr>
            </w:pPr>
          </w:p>
        </w:tc>
        <w:tc>
          <w:tcPr>
            <w:tcW w:w="447" w:type="pct"/>
            <w:vMerge/>
            <w:shd w:val="pct20" w:color="C0C0C0" w:fill="FFFFFF"/>
            <w:vAlign w:val="center"/>
          </w:tcPr>
          <w:p w:rsidR="00504724" w:rsidRPr="008340DE" w:rsidRDefault="00A07805" w:rsidP="001D1AA9">
            <w:pPr>
              <w:widowControl w:val="0"/>
              <w:suppressAutoHyphens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18" w:type="pct"/>
            <w:gridSpan w:val="2"/>
            <w:vMerge/>
            <w:shd w:val="pct20" w:color="C0C0C0" w:fill="FFFFFF"/>
            <w:vAlign w:val="center"/>
          </w:tcPr>
          <w:p w:rsidR="00504724" w:rsidRPr="008340DE" w:rsidRDefault="00A07805" w:rsidP="001D1AA9">
            <w:pPr>
              <w:widowControl w:val="0"/>
              <w:suppressAutoHyphens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89" w:type="pct"/>
            <w:vMerge/>
            <w:shd w:val="pct20" w:color="C0C0C0" w:fill="FFFFFF"/>
            <w:vAlign w:val="center"/>
          </w:tcPr>
          <w:p w:rsidR="00504724" w:rsidRPr="008340DE" w:rsidRDefault="00A07805" w:rsidP="001D1AA9">
            <w:pPr>
              <w:widowControl w:val="0"/>
              <w:suppressAutoHyphens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88" w:type="pct"/>
            <w:vMerge/>
            <w:shd w:val="pct20" w:color="C0C0C0" w:fill="FFFFFF"/>
          </w:tcPr>
          <w:p w:rsidR="00504724" w:rsidRPr="008340DE" w:rsidRDefault="00A07805" w:rsidP="001D1AA9">
            <w:pPr>
              <w:widowControl w:val="0"/>
              <w:suppressAutoHyphens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0" w:type="pct"/>
            <w:vMerge/>
            <w:shd w:val="pct20" w:color="C0C0C0" w:fill="FFFFFF"/>
          </w:tcPr>
          <w:p w:rsidR="00504724" w:rsidRPr="008340DE" w:rsidRDefault="00A07805" w:rsidP="002B6342">
            <w:pPr>
              <w:widowControl w:val="0"/>
              <w:suppressAutoHyphens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93" w:type="pct"/>
            <w:shd w:val="pct20" w:color="C0C0C0" w:fill="FFFFFF"/>
            <w:vAlign w:val="center"/>
          </w:tcPr>
          <w:p w:rsidR="00504724" w:rsidRPr="008340DE" w:rsidRDefault="00924A6A" w:rsidP="002B6342">
            <w:pPr>
              <w:widowControl w:val="0"/>
              <w:suppressAutoHyphens/>
              <w:jc w:val="center"/>
              <w:rPr>
                <w:b/>
                <w:bCs/>
                <w:sz w:val="12"/>
                <w:szCs w:val="12"/>
              </w:rPr>
            </w:pPr>
            <w:r w:rsidRPr="008340DE">
              <w:rPr>
                <w:b/>
                <w:bCs/>
                <w:sz w:val="12"/>
                <w:szCs w:val="12"/>
              </w:rPr>
              <w:t>ЗА ДЕНЬ</w:t>
            </w:r>
          </w:p>
        </w:tc>
        <w:tc>
          <w:tcPr>
            <w:tcW w:w="267" w:type="pct"/>
            <w:shd w:val="pct20" w:color="C0C0C0" w:fill="FFFFFF"/>
            <w:vAlign w:val="center"/>
          </w:tcPr>
          <w:p w:rsidR="00504724" w:rsidRPr="008340DE" w:rsidRDefault="00924A6A" w:rsidP="002B6342">
            <w:pPr>
              <w:widowControl w:val="0"/>
              <w:suppressAutoHyphens/>
              <w:jc w:val="center"/>
              <w:rPr>
                <w:b/>
                <w:bCs/>
                <w:sz w:val="12"/>
                <w:szCs w:val="12"/>
              </w:rPr>
            </w:pPr>
            <w:r w:rsidRPr="008340DE">
              <w:rPr>
                <w:b/>
                <w:bCs/>
                <w:sz w:val="12"/>
                <w:szCs w:val="12"/>
              </w:rPr>
              <w:t>ЗА 4 ДНЯ</w:t>
            </w:r>
          </w:p>
        </w:tc>
      </w:tr>
      <w:tr w:rsidR="00011FC7" w:rsidRPr="008340DE" w:rsidTr="00504724">
        <w:trPr>
          <w:gridAfter w:val="6"/>
          <w:wAfter w:w="8239" w:type="dxa"/>
          <w:trHeight w:val="189"/>
        </w:trPr>
        <w:tc>
          <w:tcPr>
            <w:tcW w:w="258" w:type="pct"/>
            <w:shd w:val="clear" w:color="auto" w:fill="FFFFFF"/>
            <w:vAlign w:val="center"/>
          </w:tcPr>
          <w:p w:rsidR="00504724" w:rsidRPr="008340DE" w:rsidRDefault="00924A6A" w:rsidP="00F6552C">
            <w:pPr>
              <w:rPr>
                <w:b/>
                <w:sz w:val="16"/>
                <w:szCs w:val="16"/>
              </w:rPr>
            </w:pPr>
            <w:r w:rsidRPr="008340DE">
              <w:rPr>
                <w:b/>
                <w:sz w:val="16"/>
                <w:szCs w:val="16"/>
              </w:rPr>
              <w:t>3.1.</w:t>
            </w:r>
          </w:p>
        </w:tc>
        <w:tc>
          <w:tcPr>
            <w:tcW w:w="1480" w:type="pct"/>
            <w:shd w:val="clear" w:color="auto" w:fill="FFFFFF"/>
            <w:vAlign w:val="center"/>
          </w:tcPr>
          <w:p w:rsidR="00504724" w:rsidRPr="008340DE" w:rsidRDefault="00924A6A" w:rsidP="00387BE5">
            <w:pPr>
              <w:rPr>
                <w:b/>
                <w:color w:val="000000"/>
                <w:sz w:val="16"/>
                <w:szCs w:val="16"/>
              </w:rPr>
            </w:pPr>
            <w:r w:rsidRPr="008340DE">
              <w:rPr>
                <w:b/>
                <w:color w:val="000000"/>
                <w:sz w:val="16"/>
                <w:szCs w:val="16"/>
              </w:rPr>
              <w:t xml:space="preserve">Безналичный перевод денежных средств </w:t>
            </w:r>
            <w:r w:rsidR="008340DE" w:rsidRPr="008340DE">
              <w:rPr>
                <w:b/>
                <w:sz w:val="20"/>
                <w:szCs w:val="20"/>
                <w:vertAlign w:val="superscript"/>
              </w:rPr>
              <w:t>2, 3</w:t>
            </w:r>
            <w:r w:rsidRPr="008340DE">
              <w:rPr>
                <w:b/>
                <w:sz w:val="20"/>
                <w:szCs w:val="20"/>
                <w:vertAlign w:val="superscript"/>
              </w:rPr>
              <w:t xml:space="preserve">, </w:t>
            </w:r>
            <w:r w:rsidR="008340DE" w:rsidRPr="008340DE">
              <w:rPr>
                <w:b/>
                <w:sz w:val="20"/>
                <w:szCs w:val="20"/>
                <w:vertAlign w:val="superscript"/>
              </w:rPr>
              <w:t>4</w:t>
            </w:r>
            <w:r w:rsidRPr="008340D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504724" w:rsidRPr="008340DE" w:rsidRDefault="00A07805" w:rsidP="00387BE5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011FC7" w:rsidRPr="008340DE" w:rsidTr="00504724">
        <w:trPr>
          <w:trHeight w:val="432"/>
        </w:trPr>
        <w:tc>
          <w:tcPr>
            <w:tcW w:w="258" w:type="pct"/>
            <w:shd w:val="clear" w:color="auto" w:fill="FFFFFF"/>
            <w:vAlign w:val="center"/>
          </w:tcPr>
          <w:p w:rsidR="00504724" w:rsidRPr="008340DE" w:rsidRDefault="00924A6A" w:rsidP="001F65A5">
            <w:pPr>
              <w:rPr>
                <w:sz w:val="16"/>
                <w:szCs w:val="16"/>
              </w:rPr>
            </w:pPr>
            <w:r w:rsidRPr="008340DE">
              <w:rPr>
                <w:sz w:val="16"/>
                <w:szCs w:val="16"/>
              </w:rPr>
              <w:t>3.1.1.</w:t>
            </w:r>
          </w:p>
        </w:tc>
        <w:tc>
          <w:tcPr>
            <w:tcW w:w="1480" w:type="pct"/>
            <w:shd w:val="clear" w:color="auto" w:fill="FFFFFF"/>
            <w:vAlign w:val="center"/>
          </w:tcPr>
          <w:p w:rsidR="00504724" w:rsidRPr="008340DE" w:rsidRDefault="00924A6A" w:rsidP="00C235D1">
            <w:pPr>
              <w:rPr>
                <w:sz w:val="16"/>
                <w:szCs w:val="16"/>
              </w:rPr>
            </w:pPr>
            <w:r w:rsidRPr="008340DE">
              <w:rPr>
                <w:sz w:val="16"/>
                <w:szCs w:val="16"/>
              </w:rPr>
              <w:t xml:space="preserve">с карты </w:t>
            </w:r>
            <w:r w:rsidRPr="008340DE">
              <w:rPr>
                <w:sz w:val="16"/>
                <w:szCs w:val="16"/>
                <w:lang w:val="en-US"/>
              </w:rPr>
              <w:t>Visa</w:t>
            </w:r>
            <w:r w:rsidRPr="008340DE">
              <w:rPr>
                <w:sz w:val="16"/>
                <w:szCs w:val="16"/>
              </w:rPr>
              <w:t>/</w:t>
            </w:r>
            <w:r w:rsidRPr="008340DE">
              <w:rPr>
                <w:sz w:val="16"/>
                <w:szCs w:val="16"/>
                <w:lang w:val="en-US"/>
              </w:rPr>
              <w:t>MasterCard</w:t>
            </w:r>
            <w:r w:rsidRPr="008340DE">
              <w:rPr>
                <w:sz w:val="16"/>
                <w:szCs w:val="16"/>
              </w:rPr>
              <w:t xml:space="preserve">/МИР </w:t>
            </w:r>
            <w:r w:rsidR="008340DE" w:rsidRPr="008340DE">
              <w:rPr>
                <w:sz w:val="16"/>
                <w:szCs w:val="16"/>
              </w:rPr>
              <w:t>КБ «Гарант-Инвест»</w:t>
            </w:r>
            <w:r w:rsidR="008340DE">
              <w:rPr>
                <w:sz w:val="16"/>
                <w:szCs w:val="16"/>
              </w:rPr>
              <w:t xml:space="preserve"> </w:t>
            </w:r>
            <w:r w:rsidR="008340DE" w:rsidRPr="008340DE">
              <w:rPr>
                <w:sz w:val="16"/>
                <w:szCs w:val="16"/>
              </w:rPr>
              <w:t xml:space="preserve">(АО), </w:t>
            </w:r>
            <w:r w:rsidR="008340DE">
              <w:rPr>
                <w:sz w:val="16"/>
                <w:szCs w:val="16"/>
              </w:rPr>
              <w:t xml:space="preserve">      </w:t>
            </w:r>
            <w:r w:rsidRPr="008340DE">
              <w:rPr>
                <w:sz w:val="16"/>
                <w:szCs w:val="16"/>
              </w:rPr>
              <w:t xml:space="preserve">на карту </w:t>
            </w:r>
            <w:r w:rsidRPr="008340DE">
              <w:rPr>
                <w:sz w:val="16"/>
                <w:szCs w:val="16"/>
                <w:lang w:val="en-US"/>
              </w:rPr>
              <w:t>Visa</w:t>
            </w:r>
            <w:r w:rsidRPr="008340DE">
              <w:rPr>
                <w:sz w:val="16"/>
                <w:szCs w:val="16"/>
              </w:rPr>
              <w:t>/</w:t>
            </w:r>
            <w:r w:rsidRPr="008340DE">
              <w:rPr>
                <w:sz w:val="16"/>
                <w:szCs w:val="16"/>
                <w:lang w:val="en-US"/>
              </w:rPr>
              <w:t>MasterCard</w:t>
            </w:r>
            <w:r w:rsidRPr="008340DE">
              <w:rPr>
                <w:sz w:val="16"/>
                <w:szCs w:val="16"/>
              </w:rPr>
              <w:t>/МИР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504724" w:rsidRPr="008340DE" w:rsidRDefault="00924A6A" w:rsidP="001F65A5">
            <w:pPr>
              <w:jc w:val="center"/>
              <w:rPr>
                <w:sz w:val="16"/>
                <w:szCs w:val="16"/>
              </w:rPr>
            </w:pPr>
            <w:r w:rsidRPr="008340DE">
              <w:rPr>
                <w:sz w:val="16"/>
                <w:szCs w:val="16"/>
                <w:lang w:val="en-US"/>
              </w:rPr>
              <w:t>RUR</w:t>
            </w:r>
          </w:p>
        </w:tc>
        <w:tc>
          <w:tcPr>
            <w:tcW w:w="518" w:type="pct"/>
            <w:gridSpan w:val="2"/>
            <w:shd w:val="clear" w:color="auto" w:fill="FFFFFF"/>
            <w:vAlign w:val="center"/>
          </w:tcPr>
          <w:p w:rsidR="00504724" w:rsidRPr="008340DE" w:rsidRDefault="00924A6A" w:rsidP="00504724">
            <w:pPr>
              <w:jc w:val="center"/>
              <w:rPr>
                <w:sz w:val="16"/>
                <w:szCs w:val="16"/>
              </w:rPr>
            </w:pPr>
            <w:r w:rsidRPr="008340DE">
              <w:rPr>
                <w:sz w:val="16"/>
                <w:szCs w:val="16"/>
              </w:rPr>
              <w:t xml:space="preserve">100 000 </w:t>
            </w:r>
            <w:r w:rsidRPr="008340DE">
              <w:rPr>
                <w:sz w:val="16"/>
                <w:szCs w:val="16"/>
                <w:lang w:val="en-US"/>
              </w:rPr>
              <w:t>RUR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504724" w:rsidRPr="008340DE" w:rsidRDefault="00924A6A" w:rsidP="001F65A5">
            <w:pPr>
              <w:jc w:val="center"/>
              <w:rPr>
                <w:sz w:val="16"/>
                <w:szCs w:val="16"/>
              </w:rPr>
            </w:pPr>
            <w:r w:rsidRPr="008340DE">
              <w:rPr>
                <w:sz w:val="16"/>
                <w:szCs w:val="16"/>
              </w:rPr>
              <w:t>путем увеличения суммы транзакции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504724" w:rsidRPr="008340DE" w:rsidRDefault="00924A6A" w:rsidP="004556DE">
            <w:pPr>
              <w:jc w:val="center"/>
              <w:rPr>
                <w:sz w:val="16"/>
                <w:szCs w:val="16"/>
                <w:lang w:val="en-US"/>
              </w:rPr>
            </w:pPr>
            <w:r w:rsidRPr="008340DE">
              <w:rPr>
                <w:sz w:val="16"/>
                <w:szCs w:val="16"/>
              </w:rPr>
              <w:t>600 000</w:t>
            </w:r>
            <w:r w:rsidRPr="008340DE">
              <w:rPr>
                <w:sz w:val="16"/>
                <w:szCs w:val="16"/>
                <w:lang w:val="en-US"/>
              </w:rPr>
              <w:t xml:space="preserve"> </w:t>
            </w:r>
            <w:r w:rsidR="008340DE" w:rsidRPr="008340DE">
              <w:rPr>
                <w:b/>
                <w:sz w:val="20"/>
                <w:szCs w:val="20"/>
                <w:vertAlign w:val="superscript"/>
              </w:rPr>
              <w:t>5</w:t>
            </w:r>
            <w:r w:rsidRPr="008340DE">
              <w:rPr>
                <w:sz w:val="16"/>
                <w:szCs w:val="16"/>
              </w:rPr>
              <w:t xml:space="preserve"> </w:t>
            </w:r>
            <w:r w:rsidRPr="008340DE">
              <w:rPr>
                <w:sz w:val="16"/>
                <w:szCs w:val="16"/>
                <w:lang w:val="en-US"/>
              </w:rPr>
              <w:t>RUB /</w:t>
            </w:r>
          </w:p>
          <w:p w:rsidR="00504724" w:rsidRPr="008340DE" w:rsidRDefault="00924A6A" w:rsidP="004556DE">
            <w:pPr>
              <w:jc w:val="center"/>
              <w:rPr>
                <w:sz w:val="16"/>
                <w:szCs w:val="16"/>
                <w:lang w:val="en-US"/>
              </w:rPr>
            </w:pPr>
            <w:r w:rsidRPr="008340DE">
              <w:rPr>
                <w:sz w:val="16"/>
                <w:szCs w:val="16"/>
                <w:lang w:val="en-US"/>
              </w:rPr>
              <w:t>2 500 USD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504724" w:rsidRPr="008340DE" w:rsidRDefault="00924A6A" w:rsidP="00504724">
            <w:pPr>
              <w:jc w:val="center"/>
              <w:rPr>
                <w:sz w:val="16"/>
                <w:szCs w:val="16"/>
                <w:lang w:val="en-US"/>
              </w:rPr>
            </w:pPr>
            <w:r w:rsidRPr="008340DE">
              <w:rPr>
                <w:sz w:val="16"/>
                <w:szCs w:val="16"/>
              </w:rPr>
              <w:t xml:space="preserve">300 000 </w:t>
            </w:r>
            <w:r w:rsidRPr="008340DE">
              <w:rPr>
                <w:sz w:val="16"/>
                <w:szCs w:val="16"/>
                <w:lang w:val="en-US"/>
              </w:rPr>
              <w:t>RUR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504724" w:rsidRPr="008340DE" w:rsidRDefault="00924A6A" w:rsidP="004556DE">
            <w:pPr>
              <w:jc w:val="center"/>
              <w:rPr>
                <w:sz w:val="16"/>
                <w:szCs w:val="16"/>
              </w:rPr>
            </w:pPr>
            <w:r w:rsidRPr="008340DE">
              <w:rPr>
                <w:sz w:val="16"/>
                <w:szCs w:val="16"/>
              </w:rPr>
              <w:t>5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504724" w:rsidRPr="008340DE" w:rsidRDefault="00924A6A" w:rsidP="004556DE">
            <w:pPr>
              <w:jc w:val="center"/>
              <w:rPr>
                <w:sz w:val="16"/>
                <w:szCs w:val="16"/>
                <w:lang w:val="en-US"/>
              </w:rPr>
            </w:pPr>
            <w:r w:rsidRPr="008340DE">
              <w:rPr>
                <w:sz w:val="16"/>
                <w:szCs w:val="16"/>
                <w:lang w:val="en-US"/>
              </w:rPr>
              <w:t>12</w:t>
            </w:r>
          </w:p>
        </w:tc>
      </w:tr>
      <w:tr w:rsidR="00011FC7" w:rsidRPr="008340DE" w:rsidTr="00504724">
        <w:trPr>
          <w:trHeight w:val="755"/>
        </w:trPr>
        <w:tc>
          <w:tcPr>
            <w:tcW w:w="258" w:type="pct"/>
            <w:shd w:val="clear" w:color="auto" w:fill="FFFFFF"/>
            <w:vAlign w:val="center"/>
          </w:tcPr>
          <w:p w:rsidR="00504724" w:rsidRPr="008340DE" w:rsidRDefault="00924A6A" w:rsidP="001F65A5">
            <w:pPr>
              <w:rPr>
                <w:sz w:val="16"/>
                <w:szCs w:val="16"/>
              </w:rPr>
            </w:pPr>
            <w:r w:rsidRPr="008340DE">
              <w:rPr>
                <w:sz w:val="16"/>
                <w:szCs w:val="16"/>
              </w:rPr>
              <w:t>3.1.2.</w:t>
            </w:r>
          </w:p>
        </w:tc>
        <w:tc>
          <w:tcPr>
            <w:tcW w:w="1480" w:type="pct"/>
            <w:shd w:val="clear" w:color="auto" w:fill="FFFFFF"/>
            <w:vAlign w:val="center"/>
          </w:tcPr>
          <w:p w:rsidR="00504724" w:rsidRPr="008340DE" w:rsidRDefault="00924A6A" w:rsidP="001E32D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340DE">
              <w:rPr>
                <w:color w:val="000000"/>
                <w:sz w:val="16"/>
                <w:szCs w:val="16"/>
              </w:rPr>
              <w:t>с карты MasterCard другого банка на карту MasterCard,</w:t>
            </w:r>
          </w:p>
          <w:p w:rsidR="00504724" w:rsidRPr="008340DE" w:rsidRDefault="00924A6A" w:rsidP="00F8245D">
            <w:pPr>
              <w:rPr>
                <w:color w:val="000000"/>
                <w:sz w:val="16"/>
                <w:szCs w:val="16"/>
              </w:rPr>
            </w:pPr>
            <w:r w:rsidRPr="008340DE">
              <w:rPr>
                <w:color w:val="000000"/>
                <w:sz w:val="16"/>
                <w:szCs w:val="16"/>
              </w:rPr>
              <w:t>с карты Visa другого банка на карту Visa,</w:t>
            </w:r>
          </w:p>
          <w:p w:rsidR="00844520" w:rsidRPr="008340DE" w:rsidRDefault="00924A6A" w:rsidP="00844520">
            <w:pPr>
              <w:rPr>
                <w:color w:val="000000"/>
                <w:sz w:val="16"/>
                <w:szCs w:val="16"/>
              </w:rPr>
            </w:pPr>
            <w:r w:rsidRPr="008340DE">
              <w:rPr>
                <w:color w:val="000000"/>
                <w:sz w:val="16"/>
                <w:szCs w:val="16"/>
              </w:rPr>
              <w:t>с карты МИР другого банка на карту МИР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504724" w:rsidRPr="008340DE" w:rsidRDefault="00924A6A" w:rsidP="001F65A5">
            <w:pPr>
              <w:jc w:val="center"/>
              <w:rPr>
                <w:sz w:val="16"/>
                <w:szCs w:val="16"/>
              </w:rPr>
            </w:pPr>
            <w:r w:rsidRPr="008340DE">
              <w:rPr>
                <w:sz w:val="16"/>
                <w:szCs w:val="16"/>
                <w:lang w:val="en-US"/>
              </w:rPr>
              <w:t>RUR</w:t>
            </w:r>
          </w:p>
        </w:tc>
        <w:tc>
          <w:tcPr>
            <w:tcW w:w="518" w:type="pct"/>
            <w:gridSpan w:val="2"/>
            <w:shd w:val="clear" w:color="auto" w:fill="FFFFFF"/>
            <w:vAlign w:val="center"/>
          </w:tcPr>
          <w:p w:rsidR="00504724" w:rsidRPr="008340DE" w:rsidRDefault="00924A6A" w:rsidP="001F65A5">
            <w:pPr>
              <w:jc w:val="center"/>
              <w:rPr>
                <w:sz w:val="16"/>
                <w:szCs w:val="16"/>
                <w:lang w:val="en-US"/>
              </w:rPr>
            </w:pPr>
            <w:r w:rsidRPr="008340DE">
              <w:rPr>
                <w:sz w:val="16"/>
                <w:szCs w:val="16"/>
              </w:rPr>
              <w:t xml:space="preserve">100 000 </w:t>
            </w:r>
            <w:r w:rsidRPr="008340DE">
              <w:rPr>
                <w:sz w:val="16"/>
                <w:szCs w:val="16"/>
                <w:lang w:val="en-US"/>
              </w:rPr>
              <w:t>RUR</w:t>
            </w:r>
            <w:r w:rsidRPr="00834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504724" w:rsidRPr="008340DE" w:rsidRDefault="00924A6A" w:rsidP="001F65A5">
            <w:pPr>
              <w:jc w:val="center"/>
              <w:rPr>
                <w:sz w:val="16"/>
                <w:szCs w:val="16"/>
              </w:rPr>
            </w:pPr>
            <w:r w:rsidRPr="008340DE">
              <w:rPr>
                <w:sz w:val="16"/>
                <w:szCs w:val="16"/>
              </w:rPr>
              <w:t>путем увеличения суммы транзакции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504724" w:rsidRPr="008340DE" w:rsidRDefault="00924A6A" w:rsidP="004556DE">
            <w:pPr>
              <w:jc w:val="center"/>
              <w:rPr>
                <w:sz w:val="16"/>
                <w:szCs w:val="16"/>
                <w:lang w:val="en-US"/>
              </w:rPr>
            </w:pPr>
            <w:r w:rsidRPr="008340DE">
              <w:rPr>
                <w:sz w:val="16"/>
                <w:szCs w:val="16"/>
              </w:rPr>
              <w:t>600 000</w:t>
            </w:r>
            <w:r w:rsidRPr="008340DE">
              <w:rPr>
                <w:sz w:val="16"/>
                <w:szCs w:val="16"/>
                <w:lang w:val="en-US"/>
              </w:rPr>
              <w:t xml:space="preserve"> </w:t>
            </w:r>
            <w:r w:rsidR="008340DE" w:rsidRPr="008340DE">
              <w:rPr>
                <w:b/>
                <w:sz w:val="20"/>
                <w:szCs w:val="20"/>
                <w:vertAlign w:val="superscript"/>
              </w:rPr>
              <w:t>5</w:t>
            </w:r>
            <w:r w:rsidRPr="008340DE">
              <w:rPr>
                <w:sz w:val="16"/>
                <w:szCs w:val="16"/>
              </w:rPr>
              <w:t xml:space="preserve"> </w:t>
            </w:r>
            <w:r w:rsidRPr="008340DE">
              <w:rPr>
                <w:sz w:val="16"/>
                <w:szCs w:val="16"/>
                <w:lang w:val="en-US"/>
              </w:rPr>
              <w:t>RUB /</w:t>
            </w:r>
          </w:p>
          <w:p w:rsidR="00504724" w:rsidRPr="008340DE" w:rsidRDefault="00924A6A" w:rsidP="004556DE">
            <w:pPr>
              <w:jc w:val="center"/>
              <w:rPr>
                <w:sz w:val="16"/>
                <w:szCs w:val="16"/>
              </w:rPr>
            </w:pPr>
            <w:r w:rsidRPr="008340DE">
              <w:rPr>
                <w:sz w:val="16"/>
                <w:szCs w:val="16"/>
                <w:lang w:val="en-US"/>
              </w:rPr>
              <w:t>2 500 USD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504724" w:rsidRPr="008340DE" w:rsidRDefault="00924A6A" w:rsidP="00504724">
            <w:pPr>
              <w:jc w:val="center"/>
              <w:rPr>
                <w:sz w:val="16"/>
                <w:szCs w:val="16"/>
                <w:lang w:val="en-US"/>
              </w:rPr>
            </w:pPr>
            <w:r w:rsidRPr="008340DE">
              <w:rPr>
                <w:sz w:val="16"/>
                <w:szCs w:val="16"/>
              </w:rPr>
              <w:t xml:space="preserve">300 000 </w:t>
            </w:r>
            <w:r w:rsidRPr="008340DE">
              <w:rPr>
                <w:sz w:val="16"/>
                <w:szCs w:val="16"/>
                <w:lang w:val="en-US"/>
              </w:rPr>
              <w:t>RUR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504724" w:rsidRPr="008340DE" w:rsidRDefault="00924A6A" w:rsidP="004556DE">
            <w:pPr>
              <w:jc w:val="center"/>
              <w:rPr>
                <w:sz w:val="16"/>
                <w:szCs w:val="16"/>
              </w:rPr>
            </w:pPr>
            <w:r w:rsidRPr="008340DE">
              <w:rPr>
                <w:sz w:val="16"/>
                <w:szCs w:val="16"/>
              </w:rPr>
              <w:t>5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504724" w:rsidRPr="008340DE" w:rsidRDefault="00924A6A" w:rsidP="004556DE">
            <w:pPr>
              <w:jc w:val="center"/>
              <w:rPr>
                <w:sz w:val="16"/>
                <w:szCs w:val="16"/>
                <w:lang w:val="en-US"/>
              </w:rPr>
            </w:pPr>
            <w:r w:rsidRPr="008340DE">
              <w:rPr>
                <w:sz w:val="16"/>
                <w:szCs w:val="16"/>
                <w:lang w:val="en-US"/>
              </w:rPr>
              <w:t>12</w:t>
            </w:r>
          </w:p>
        </w:tc>
      </w:tr>
      <w:tr w:rsidR="00011FC7" w:rsidRPr="008340DE" w:rsidTr="00E55B36">
        <w:trPr>
          <w:trHeight w:val="679"/>
        </w:trPr>
        <w:tc>
          <w:tcPr>
            <w:tcW w:w="258" w:type="pct"/>
            <w:shd w:val="clear" w:color="auto" w:fill="FFFFFF"/>
            <w:vAlign w:val="center"/>
          </w:tcPr>
          <w:p w:rsidR="00504724" w:rsidRPr="008340DE" w:rsidRDefault="00924A6A" w:rsidP="001F65A5">
            <w:pPr>
              <w:rPr>
                <w:sz w:val="16"/>
                <w:szCs w:val="16"/>
              </w:rPr>
            </w:pPr>
            <w:r w:rsidRPr="008340DE">
              <w:rPr>
                <w:sz w:val="16"/>
                <w:szCs w:val="16"/>
              </w:rPr>
              <w:t>3.1.3.</w:t>
            </w:r>
          </w:p>
        </w:tc>
        <w:tc>
          <w:tcPr>
            <w:tcW w:w="1480" w:type="pct"/>
            <w:shd w:val="clear" w:color="auto" w:fill="FFFFFF"/>
            <w:vAlign w:val="center"/>
          </w:tcPr>
          <w:p w:rsidR="00E55B36" w:rsidRPr="008340DE" w:rsidRDefault="00924A6A" w:rsidP="00E55B3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340DE">
              <w:rPr>
                <w:color w:val="000000"/>
                <w:sz w:val="16"/>
                <w:szCs w:val="16"/>
              </w:rPr>
              <w:t>с карты MasterCard другого банка на карту Visa/МИР,</w:t>
            </w:r>
          </w:p>
          <w:p w:rsidR="00E55B36" w:rsidRPr="008340DE" w:rsidRDefault="00924A6A" w:rsidP="00E55B3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340DE">
              <w:rPr>
                <w:color w:val="000000"/>
                <w:sz w:val="16"/>
                <w:szCs w:val="16"/>
              </w:rPr>
              <w:t>с карты Visa другого банка на карту MasterCard/МИР,</w:t>
            </w:r>
          </w:p>
          <w:p w:rsidR="00504724" w:rsidRPr="008340DE" w:rsidRDefault="00924A6A" w:rsidP="00E55B3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340DE">
              <w:rPr>
                <w:color w:val="000000"/>
                <w:sz w:val="16"/>
                <w:szCs w:val="16"/>
              </w:rPr>
              <w:t xml:space="preserve">с карты </w:t>
            </w:r>
            <w:r w:rsidRPr="008340DE">
              <w:rPr>
                <w:sz w:val="16"/>
                <w:szCs w:val="16"/>
              </w:rPr>
              <w:t>МИР</w:t>
            </w:r>
            <w:r w:rsidRPr="008340DE">
              <w:rPr>
                <w:color w:val="000000"/>
                <w:sz w:val="16"/>
                <w:szCs w:val="16"/>
              </w:rPr>
              <w:t xml:space="preserve"> другого банка на карту V</w:t>
            </w:r>
            <w:r w:rsidRPr="008340DE">
              <w:rPr>
                <w:sz w:val="16"/>
                <w:szCs w:val="16"/>
                <w:lang w:val="en-US"/>
              </w:rPr>
              <w:t>isa</w:t>
            </w:r>
            <w:r w:rsidRPr="008340DE">
              <w:rPr>
                <w:sz w:val="16"/>
                <w:szCs w:val="16"/>
              </w:rPr>
              <w:t>/</w:t>
            </w:r>
            <w:r w:rsidRPr="008340DE">
              <w:rPr>
                <w:sz w:val="16"/>
                <w:szCs w:val="16"/>
                <w:lang w:val="en-US"/>
              </w:rPr>
              <w:t>MasterCard</w:t>
            </w:r>
            <w:r w:rsidRPr="008340DE">
              <w:rPr>
                <w:color w:val="000000"/>
                <w:sz w:val="16"/>
                <w:szCs w:val="16"/>
              </w:rPr>
              <w:t xml:space="preserve"> </w:t>
            </w:r>
            <w:r w:rsidR="008340DE" w:rsidRPr="008340DE">
              <w:rPr>
                <w:b/>
                <w:bCs/>
                <w:cap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504724" w:rsidRPr="008340DE" w:rsidRDefault="00924A6A" w:rsidP="001F65A5">
            <w:pPr>
              <w:jc w:val="center"/>
              <w:rPr>
                <w:sz w:val="16"/>
                <w:szCs w:val="16"/>
                <w:lang w:val="en-US"/>
              </w:rPr>
            </w:pPr>
            <w:r w:rsidRPr="008340DE">
              <w:rPr>
                <w:sz w:val="16"/>
                <w:szCs w:val="16"/>
                <w:lang w:val="en-US"/>
              </w:rPr>
              <w:t>RUR</w:t>
            </w:r>
          </w:p>
        </w:tc>
        <w:tc>
          <w:tcPr>
            <w:tcW w:w="518" w:type="pct"/>
            <w:gridSpan w:val="2"/>
            <w:shd w:val="clear" w:color="auto" w:fill="FFFFFF"/>
            <w:vAlign w:val="center"/>
          </w:tcPr>
          <w:p w:rsidR="00504724" w:rsidRPr="008340DE" w:rsidRDefault="00924A6A" w:rsidP="001F65A5">
            <w:pPr>
              <w:jc w:val="center"/>
              <w:rPr>
                <w:sz w:val="16"/>
                <w:szCs w:val="16"/>
                <w:lang w:val="en-US"/>
              </w:rPr>
            </w:pPr>
            <w:r w:rsidRPr="008340DE">
              <w:rPr>
                <w:sz w:val="16"/>
                <w:szCs w:val="16"/>
              </w:rPr>
              <w:t xml:space="preserve">100 000 </w:t>
            </w:r>
            <w:r w:rsidRPr="008340DE">
              <w:rPr>
                <w:sz w:val="16"/>
                <w:szCs w:val="16"/>
                <w:lang w:val="en-US"/>
              </w:rPr>
              <w:t>RUR</w:t>
            </w:r>
            <w:r w:rsidRPr="00834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504724" w:rsidRPr="008340DE" w:rsidRDefault="00924A6A" w:rsidP="001F65A5">
            <w:pPr>
              <w:jc w:val="center"/>
              <w:rPr>
                <w:sz w:val="16"/>
                <w:szCs w:val="16"/>
              </w:rPr>
            </w:pPr>
            <w:r w:rsidRPr="008340DE">
              <w:rPr>
                <w:sz w:val="16"/>
                <w:szCs w:val="16"/>
              </w:rPr>
              <w:t>путем увеличения суммы транзакции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504724" w:rsidRPr="008340DE" w:rsidRDefault="00924A6A" w:rsidP="004556DE">
            <w:pPr>
              <w:jc w:val="center"/>
              <w:rPr>
                <w:sz w:val="16"/>
                <w:szCs w:val="16"/>
                <w:lang w:val="en-US"/>
              </w:rPr>
            </w:pPr>
            <w:r w:rsidRPr="008340DE">
              <w:rPr>
                <w:sz w:val="16"/>
                <w:szCs w:val="16"/>
              </w:rPr>
              <w:t>600 000</w:t>
            </w:r>
            <w:r w:rsidRPr="008340DE">
              <w:rPr>
                <w:sz w:val="16"/>
                <w:szCs w:val="16"/>
                <w:lang w:val="en-US"/>
              </w:rPr>
              <w:t xml:space="preserve"> </w:t>
            </w:r>
            <w:r w:rsidR="008340DE" w:rsidRPr="008340DE">
              <w:rPr>
                <w:b/>
                <w:sz w:val="20"/>
                <w:szCs w:val="20"/>
                <w:vertAlign w:val="superscript"/>
              </w:rPr>
              <w:t>5</w:t>
            </w:r>
            <w:r w:rsidRPr="008340DE">
              <w:rPr>
                <w:sz w:val="16"/>
                <w:szCs w:val="16"/>
              </w:rPr>
              <w:t xml:space="preserve"> </w:t>
            </w:r>
            <w:r w:rsidRPr="008340DE">
              <w:rPr>
                <w:sz w:val="16"/>
                <w:szCs w:val="16"/>
                <w:lang w:val="en-US"/>
              </w:rPr>
              <w:t>RUB /</w:t>
            </w:r>
          </w:p>
          <w:p w:rsidR="00504724" w:rsidRPr="008340DE" w:rsidRDefault="00924A6A" w:rsidP="004556DE">
            <w:pPr>
              <w:jc w:val="center"/>
              <w:rPr>
                <w:sz w:val="16"/>
                <w:szCs w:val="16"/>
              </w:rPr>
            </w:pPr>
            <w:r w:rsidRPr="008340DE">
              <w:rPr>
                <w:sz w:val="16"/>
                <w:szCs w:val="16"/>
                <w:lang w:val="en-US"/>
              </w:rPr>
              <w:t>2 500 USD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504724" w:rsidRPr="008340DE" w:rsidRDefault="00924A6A" w:rsidP="00504724">
            <w:pPr>
              <w:jc w:val="center"/>
              <w:rPr>
                <w:sz w:val="16"/>
                <w:szCs w:val="16"/>
                <w:lang w:val="en-US"/>
              </w:rPr>
            </w:pPr>
            <w:r w:rsidRPr="008340DE">
              <w:rPr>
                <w:sz w:val="16"/>
                <w:szCs w:val="16"/>
              </w:rPr>
              <w:t xml:space="preserve">300 000 </w:t>
            </w:r>
            <w:r w:rsidRPr="008340DE">
              <w:rPr>
                <w:sz w:val="16"/>
                <w:szCs w:val="16"/>
                <w:lang w:val="en-US"/>
              </w:rPr>
              <w:t>RUR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504724" w:rsidRPr="008340DE" w:rsidRDefault="00924A6A" w:rsidP="004556DE">
            <w:pPr>
              <w:jc w:val="center"/>
              <w:rPr>
                <w:sz w:val="16"/>
                <w:szCs w:val="16"/>
              </w:rPr>
            </w:pPr>
            <w:r w:rsidRPr="008340DE">
              <w:rPr>
                <w:sz w:val="16"/>
                <w:szCs w:val="16"/>
              </w:rPr>
              <w:t>5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504724" w:rsidRPr="008340DE" w:rsidRDefault="00924A6A" w:rsidP="004556DE">
            <w:pPr>
              <w:jc w:val="center"/>
              <w:rPr>
                <w:sz w:val="16"/>
                <w:szCs w:val="16"/>
                <w:lang w:val="en-US"/>
              </w:rPr>
            </w:pPr>
            <w:r w:rsidRPr="008340DE">
              <w:rPr>
                <w:sz w:val="16"/>
                <w:szCs w:val="16"/>
                <w:lang w:val="en-US"/>
              </w:rPr>
              <w:t>12</w:t>
            </w:r>
          </w:p>
        </w:tc>
      </w:tr>
    </w:tbl>
    <w:p w:rsidR="000E5CBF" w:rsidRPr="008340DE" w:rsidRDefault="00924A6A" w:rsidP="0069511A">
      <w:pPr>
        <w:tabs>
          <w:tab w:val="left" w:pos="5103"/>
        </w:tabs>
        <w:rPr>
          <w:b/>
          <w:sz w:val="16"/>
          <w:szCs w:val="16"/>
          <w:u w:val="single"/>
        </w:rPr>
      </w:pPr>
      <w:r w:rsidRPr="008340DE">
        <w:rPr>
          <w:b/>
          <w:sz w:val="16"/>
          <w:szCs w:val="16"/>
          <w:u w:val="single"/>
        </w:rPr>
        <w:tab/>
      </w:r>
    </w:p>
    <w:p w:rsidR="00646345" w:rsidRPr="008340DE" w:rsidRDefault="00924A6A" w:rsidP="0069511A">
      <w:pPr>
        <w:rPr>
          <w:b/>
          <w:sz w:val="16"/>
          <w:szCs w:val="16"/>
          <w:lang w:val="en-US"/>
        </w:rPr>
      </w:pPr>
      <w:r w:rsidRPr="008340DE">
        <w:rPr>
          <w:b/>
          <w:sz w:val="16"/>
          <w:szCs w:val="16"/>
        </w:rPr>
        <w:t>Примечание:</w:t>
      </w:r>
    </w:p>
    <w:p w:rsidR="0099688D" w:rsidRPr="008340DE" w:rsidRDefault="00924A6A" w:rsidP="00EE2551">
      <w:pPr>
        <w:numPr>
          <w:ilvl w:val="0"/>
          <w:numId w:val="2"/>
        </w:numPr>
        <w:tabs>
          <w:tab w:val="clear" w:pos="720"/>
          <w:tab w:val="num" w:pos="1134"/>
        </w:tabs>
        <w:ind w:left="1134" w:hanging="425"/>
        <w:jc w:val="both"/>
        <w:rPr>
          <w:sz w:val="16"/>
          <w:szCs w:val="16"/>
        </w:rPr>
      </w:pPr>
      <w:r w:rsidRPr="008340DE">
        <w:rPr>
          <w:sz w:val="16"/>
          <w:szCs w:val="16"/>
        </w:rPr>
        <w:t xml:space="preserve">При совершении операций на сайте, организованном </w:t>
      </w:r>
      <w:r w:rsidR="008340DE" w:rsidRPr="008340DE">
        <w:rPr>
          <w:sz w:val="16"/>
          <w:szCs w:val="16"/>
        </w:rPr>
        <w:t>КБ «Гарант-Инвест»(АО)</w:t>
      </w:r>
      <w:r w:rsidRPr="008340DE">
        <w:rPr>
          <w:sz w:val="16"/>
          <w:szCs w:val="16"/>
        </w:rPr>
        <w:t xml:space="preserve">, к комиссионному эквайринговому вознаграждению / эквайринговым лимитам </w:t>
      </w:r>
      <w:r w:rsidR="008340DE" w:rsidRPr="008340DE">
        <w:rPr>
          <w:sz w:val="16"/>
          <w:szCs w:val="16"/>
        </w:rPr>
        <w:t>КБ «Гарант-Инвест»(АО)</w:t>
      </w:r>
      <w:r w:rsidRPr="008340DE">
        <w:rPr>
          <w:sz w:val="16"/>
          <w:szCs w:val="16"/>
        </w:rPr>
        <w:t xml:space="preserve">, установленным настоящим Документом, </w:t>
      </w:r>
      <w:r w:rsidRPr="008340DE">
        <w:rPr>
          <w:b/>
          <w:sz w:val="16"/>
          <w:szCs w:val="16"/>
        </w:rPr>
        <w:t>дополнительно могут списываться эмиссионные комиссии / устанавливаться эмиссионные лимиты</w:t>
      </w:r>
      <w:r w:rsidRPr="008340DE">
        <w:rPr>
          <w:sz w:val="16"/>
          <w:szCs w:val="16"/>
        </w:rPr>
        <w:t xml:space="preserve"> согласно тарифам Банка–эмитента </w:t>
      </w:r>
      <w:r w:rsidR="008340DE" w:rsidRPr="008340DE">
        <w:rPr>
          <w:sz w:val="16"/>
          <w:szCs w:val="16"/>
        </w:rPr>
        <w:t xml:space="preserve">банковской </w:t>
      </w:r>
      <w:r w:rsidRPr="008340DE">
        <w:rPr>
          <w:sz w:val="16"/>
          <w:szCs w:val="16"/>
        </w:rPr>
        <w:t>карты. Эмиссионные тарифы и лимиты по картам Банка-эмитента, необходимо уточнять у Банка, выпустившего карту.</w:t>
      </w:r>
    </w:p>
    <w:p w:rsidR="00E82AF1" w:rsidRPr="00E82AF1" w:rsidRDefault="00924A6A" w:rsidP="00EE2551">
      <w:pPr>
        <w:numPr>
          <w:ilvl w:val="0"/>
          <w:numId w:val="2"/>
        </w:numPr>
        <w:tabs>
          <w:tab w:val="clear" w:pos="720"/>
          <w:tab w:val="num" w:pos="1134"/>
        </w:tabs>
        <w:ind w:left="1134" w:hanging="425"/>
        <w:jc w:val="both"/>
        <w:rPr>
          <w:sz w:val="16"/>
          <w:szCs w:val="16"/>
        </w:rPr>
      </w:pPr>
      <w:r w:rsidRPr="00E82AF1">
        <w:rPr>
          <w:sz w:val="16"/>
          <w:szCs w:val="16"/>
        </w:rPr>
        <w:t xml:space="preserve">Услуга предоставляется </w:t>
      </w:r>
      <w:r w:rsidR="00FA0AD0" w:rsidRPr="00E82AF1">
        <w:rPr>
          <w:sz w:val="16"/>
          <w:szCs w:val="16"/>
        </w:rPr>
        <w:t xml:space="preserve">только </w:t>
      </w:r>
      <w:r w:rsidR="00CF27E1">
        <w:rPr>
          <w:sz w:val="16"/>
          <w:szCs w:val="16"/>
        </w:rPr>
        <w:t>для карт с поддержкой технологий</w:t>
      </w:r>
      <w:r w:rsidR="00FA0AD0" w:rsidRPr="00E82AF1">
        <w:rPr>
          <w:sz w:val="16"/>
          <w:szCs w:val="16"/>
        </w:rPr>
        <w:t xml:space="preserve"> </w:t>
      </w:r>
      <w:r w:rsidR="00E82AF1" w:rsidRPr="00E82AF1">
        <w:rPr>
          <w:sz w:val="16"/>
          <w:szCs w:val="16"/>
        </w:rPr>
        <w:t xml:space="preserve">безопасных переводов </w:t>
      </w:r>
      <w:r w:rsidR="00FA0AD0" w:rsidRPr="00E82AF1">
        <w:rPr>
          <w:sz w:val="16"/>
          <w:szCs w:val="16"/>
        </w:rPr>
        <w:t>3</w:t>
      </w:r>
      <w:r w:rsidR="00FA0AD0" w:rsidRPr="00E82AF1">
        <w:rPr>
          <w:sz w:val="16"/>
          <w:szCs w:val="16"/>
          <w:lang w:val="en-US"/>
        </w:rPr>
        <w:t>DSecure</w:t>
      </w:r>
      <w:r w:rsidR="00CF27E1">
        <w:rPr>
          <w:sz w:val="16"/>
          <w:szCs w:val="16"/>
        </w:rPr>
        <w:t xml:space="preserve"> </w:t>
      </w:r>
      <w:r w:rsidR="00E82AF1" w:rsidRPr="00E82AF1">
        <w:rPr>
          <w:sz w:val="16"/>
          <w:szCs w:val="16"/>
        </w:rPr>
        <w:t xml:space="preserve">/ </w:t>
      </w:r>
      <w:r w:rsidR="00E82AF1" w:rsidRPr="00E82AF1">
        <w:rPr>
          <w:sz w:val="16"/>
          <w:szCs w:val="16"/>
          <w:lang w:val="en-US"/>
        </w:rPr>
        <w:t>Mir</w:t>
      </w:r>
      <w:r w:rsidR="00CF27E1">
        <w:rPr>
          <w:sz w:val="16"/>
          <w:szCs w:val="16"/>
        </w:rPr>
        <w:t xml:space="preserve"> </w:t>
      </w:r>
      <w:r w:rsidR="00E82AF1" w:rsidRPr="00E82AF1">
        <w:rPr>
          <w:sz w:val="16"/>
          <w:szCs w:val="16"/>
          <w:lang w:val="en-US"/>
        </w:rPr>
        <w:t>Accept</w:t>
      </w:r>
      <w:r w:rsidR="00FA0AD0" w:rsidRPr="00E82AF1">
        <w:rPr>
          <w:sz w:val="16"/>
          <w:szCs w:val="16"/>
        </w:rPr>
        <w:t xml:space="preserve"> </w:t>
      </w:r>
    </w:p>
    <w:p w:rsidR="004B4234" w:rsidRPr="00E82AF1" w:rsidRDefault="00924A6A" w:rsidP="00EE2551">
      <w:pPr>
        <w:numPr>
          <w:ilvl w:val="0"/>
          <w:numId w:val="2"/>
        </w:numPr>
        <w:tabs>
          <w:tab w:val="clear" w:pos="720"/>
          <w:tab w:val="num" w:pos="1134"/>
        </w:tabs>
        <w:ind w:left="1134" w:hanging="425"/>
        <w:jc w:val="both"/>
        <w:rPr>
          <w:sz w:val="16"/>
          <w:szCs w:val="16"/>
        </w:rPr>
      </w:pPr>
      <w:r w:rsidRPr="00E82AF1">
        <w:rPr>
          <w:sz w:val="16"/>
          <w:szCs w:val="16"/>
        </w:rPr>
        <w:t>Услуга предоставляется только для карт, эмитированных российскими банками.</w:t>
      </w:r>
    </w:p>
    <w:p w:rsidR="004556DE" w:rsidRPr="008340DE" w:rsidRDefault="00924A6A" w:rsidP="00EE2551">
      <w:pPr>
        <w:numPr>
          <w:ilvl w:val="0"/>
          <w:numId w:val="2"/>
        </w:numPr>
        <w:tabs>
          <w:tab w:val="clear" w:pos="720"/>
          <w:tab w:val="num" w:pos="1134"/>
        </w:tabs>
        <w:ind w:left="1134" w:hanging="425"/>
        <w:jc w:val="both"/>
        <w:rPr>
          <w:sz w:val="16"/>
          <w:szCs w:val="16"/>
        </w:rPr>
      </w:pPr>
      <w:r w:rsidRPr="008340DE">
        <w:rPr>
          <w:sz w:val="16"/>
          <w:szCs w:val="16"/>
        </w:rPr>
        <w:t xml:space="preserve">Лимиты распространяются  на карту отправителя. </w:t>
      </w:r>
    </w:p>
    <w:p w:rsidR="008340DE" w:rsidRPr="008340DE" w:rsidRDefault="00924A6A" w:rsidP="00EE2551">
      <w:pPr>
        <w:ind w:left="1134"/>
        <w:jc w:val="both"/>
        <w:rPr>
          <w:sz w:val="16"/>
          <w:szCs w:val="16"/>
        </w:rPr>
      </w:pPr>
      <w:r w:rsidRPr="008340DE">
        <w:rPr>
          <w:sz w:val="16"/>
          <w:szCs w:val="16"/>
        </w:rPr>
        <w:t xml:space="preserve">На карту получателя перевода не может быть переведено более 300 000 руб. в день и совершено не более 4 операций. </w:t>
      </w:r>
    </w:p>
    <w:p w:rsidR="004556DE" w:rsidRPr="008340DE" w:rsidRDefault="00924A6A" w:rsidP="00EE2551">
      <w:pPr>
        <w:ind w:left="1134"/>
        <w:jc w:val="both"/>
        <w:rPr>
          <w:sz w:val="16"/>
          <w:szCs w:val="16"/>
        </w:rPr>
      </w:pPr>
      <w:r w:rsidRPr="008340DE">
        <w:rPr>
          <w:sz w:val="16"/>
          <w:szCs w:val="16"/>
        </w:rPr>
        <w:t>В месяц на карту получателя может быть зачислено не более 600 000 руб.</w:t>
      </w:r>
    </w:p>
    <w:p w:rsidR="00223898" w:rsidRPr="008340DE" w:rsidRDefault="00924A6A" w:rsidP="00EE2551">
      <w:pPr>
        <w:numPr>
          <w:ilvl w:val="0"/>
          <w:numId w:val="2"/>
        </w:numPr>
        <w:tabs>
          <w:tab w:val="clear" w:pos="720"/>
          <w:tab w:val="num" w:pos="1134"/>
        </w:tabs>
        <w:ind w:left="1134" w:hanging="425"/>
        <w:jc w:val="both"/>
        <w:rPr>
          <w:sz w:val="16"/>
          <w:szCs w:val="16"/>
        </w:rPr>
      </w:pPr>
      <w:r w:rsidRPr="008340DE">
        <w:rPr>
          <w:sz w:val="16"/>
          <w:szCs w:val="16"/>
        </w:rPr>
        <w:t>Лимит в месяц для карт Visa/МИР - 600 тыс. руб., для карт Mastercard - 2 500 USD.</w:t>
      </w:r>
    </w:p>
    <w:sectPr w:rsidR="00223898" w:rsidRPr="008340DE" w:rsidSect="0069511A">
      <w:headerReference w:type="default" r:id="rId8"/>
      <w:footerReference w:type="default" r:id="rId9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805" w:rsidRDefault="00A07805" w:rsidP="00011FC7">
      <w:r>
        <w:separator/>
      </w:r>
    </w:p>
  </w:endnote>
  <w:endnote w:type="continuationSeparator" w:id="0">
    <w:p w:rsidR="00A07805" w:rsidRDefault="00A07805" w:rsidP="0001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130" w:rsidRPr="00FB3130" w:rsidRDefault="00924A6A">
    <w:pPr>
      <w:pStyle w:val="aa"/>
      <w:rPr>
        <w:color w:val="008000"/>
      </w:rPr>
    </w:pPr>
    <w:r w:rsidRPr="00FB3130">
      <w:rPr>
        <w:color w:val="008000"/>
      </w:rPr>
      <w:t>102 305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805" w:rsidRDefault="00A07805" w:rsidP="00011FC7">
      <w:r>
        <w:separator/>
      </w:r>
    </w:p>
  </w:footnote>
  <w:footnote w:type="continuationSeparator" w:id="0">
    <w:p w:rsidR="00A07805" w:rsidRDefault="00A07805" w:rsidP="00011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11A" w:rsidRPr="0069511A" w:rsidRDefault="00DD1284" w:rsidP="0069511A">
    <w:pPr>
      <w:pStyle w:val="ab"/>
      <w:jc w:val="right"/>
      <w:rPr>
        <w:rFonts w:ascii="Arial" w:hAnsi="Arial" w:cs="Arial"/>
        <w:sz w:val="20"/>
        <w:szCs w:val="20"/>
      </w:rPr>
    </w:pPr>
    <w:r w:rsidRPr="0069511A">
      <w:rPr>
        <w:rFonts w:ascii="Arial" w:hAnsi="Arial" w:cs="Arial"/>
        <w:sz w:val="20"/>
        <w:szCs w:val="20"/>
      </w:rPr>
      <w:fldChar w:fldCharType="begin"/>
    </w:r>
    <w:r w:rsidR="00924A6A" w:rsidRPr="0069511A">
      <w:rPr>
        <w:rFonts w:ascii="Arial" w:hAnsi="Arial" w:cs="Arial"/>
        <w:sz w:val="20"/>
        <w:szCs w:val="20"/>
      </w:rPr>
      <w:instrText>PAGE   \* MERGEFORMAT</w:instrText>
    </w:r>
    <w:r w:rsidRPr="0069511A">
      <w:rPr>
        <w:rFonts w:ascii="Arial" w:hAnsi="Arial" w:cs="Arial"/>
        <w:sz w:val="20"/>
        <w:szCs w:val="20"/>
      </w:rPr>
      <w:fldChar w:fldCharType="separate"/>
    </w:r>
    <w:r w:rsidR="008340DE">
      <w:rPr>
        <w:rFonts w:ascii="Arial" w:hAnsi="Arial" w:cs="Arial"/>
        <w:noProof/>
        <w:sz w:val="20"/>
        <w:szCs w:val="20"/>
      </w:rPr>
      <w:t>2</w:t>
    </w:r>
    <w:r w:rsidRPr="0069511A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7F70"/>
    <w:multiLevelType w:val="hybridMultilevel"/>
    <w:tmpl w:val="616E22CE"/>
    <w:lvl w:ilvl="0" w:tplc="F74E3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8E7C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DAE0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80B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051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B0D2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E23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EC2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B22F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1B7DD4"/>
    <w:multiLevelType w:val="hybridMultilevel"/>
    <w:tmpl w:val="FE7C74EA"/>
    <w:lvl w:ilvl="0" w:tplc="BDBA2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7039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FC7F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1AA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6E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2F3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446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2E77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169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FC7"/>
    <w:rsid w:val="00011FC7"/>
    <w:rsid w:val="00162EBA"/>
    <w:rsid w:val="006D51C5"/>
    <w:rsid w:val="007B75E9"/>
    <w:rsid w:val="008158FF"/>
    <w:rsid w:val="008340DE"/>
    <w:rsid w:val="00924A6A"/>
    <w:rsid w:val="00A07805"/>
    <w:rsid w:val="00CF27E1"/>
    <w:rsid w:val="00DD1284"/>
    <w:rsid w:val="00E82AF1"/>
    <w:rsid w:val="00FA0AD0"/>
    <w:rsid w:val="00FF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FC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23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46345"/>
    <w:pPr>
      <w:keepNext/>
      <w:tabs>
        <w:tab w:val="left" w:pos="567"/>
        <w:tab w:val="left" w:pos="1062"/>
        <w:tab w:val="left" w:pos="1134"/>
        <w:tab w:val="left" w:pos="1701"/>
        <w:tab w:val="left" w:pos="2268"/>
        <w:tab w:val="left" w:pos="2835"/>
      </w:tabs>
      <w:spacing w:after="60"/>
      <w:ind w:right="-1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6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322CBF"/>
    <w:rPr>
      <w:sz w:val="20"/>
      <w:szCs w:val="20"/>
    </w:rPr>
  </w:style>
  <w:style w:type="character" w:styleId="a5">
    <w:name w:val="footnote reference"/>
    <w:semiHidden/>
    <w:rsid w:val="00322CBF"/>
    <w:rPr>
      <w:vertAlign w:val="superscript"/>
    </w:rPr>
  </w:style>
  <w:style w:type="character" w:styleId="a6">
    <w:name w:val="annotation reference"/>
    <w:semiHidden/>
    <w:rsid w:val="000F1F35"/>
    <w:rPr>
      <w:sz w:val="16"/>
      <w:szCs w:val="16"/>
    </w:rPr>
  </w:style>
  <w:style w:type="paragraph" w:styleId="a7">
    <w:name w:val="annotation text"/>
    <w:basedOn w:val="a"/>
    <w:semiHidden/>
    <w:rsid w:val="000F1F35"/>
    <w:rPr>
      <w:sz w:val="20"/>
      <w:szCs w:val="20"/>
    </w:rPr>
  </w:style>
  <w:style w:type="paragraph" w:styleId="a8">
    <w:name w:val="annotation subject"/>
    <w:basedOn w:val="a7"/>
    <w:next w:val="a7"/>
    <w:semiHidden/>
    <w:rsid w:val="000F1F35"/>
    <w:rPr>
      <w:b/>
      <w:bCs/>
    </w:rPr>
  </w:style>
  <w:style w:type="paragraph" w:styleId="a9">
    <w:name w:val="Balloon Text"/>
    <w:basedOn w:val="a"/>
    <w:semiHidden/>
    <w:rsid w:val="000F1F35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245991"/>
    <w:pPr>
      <w:widowControl w:val="0"/>
      <w:spacing w:before="20"/>
      <w:jc w:val="right"/>
    </w:pPr>
    <w:rPr>
      <w:rFonts w:ascii="Arial" w:hAnsi="Arial"/>
      <w:color w:val="0000FF"/>
      <w:sz w:val="16"/>
      <w:szCs w:val="20"/>
    </w:rPr>
  </w:style>
  <w:style w:type="paragraph" w:customStyle="1" w:styleId="Default">
    <w:name w:val="Default"/>
    <w:rsid w:val="00091E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rsid w:val="00CA7D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A7D64"/>
    <w:rPr>
      <w:sz w:val="24"/>
      <w:szCs w:val="24"/>
    </w:rPr>
  </w:style>
  <w:style w:type="character" w:customStyle="1" w:styleId="20">
    <w:name w:val="Заголовок 2 Знак"/>
    <w:link w:val="2"/>
    <w:rsid w:val="00223898"/>
    <w:rPr>
      <w:rFonts w:ascii="Arial" w:hAnsi="Arial" w:cs="Arial"/>
      <w:b/>
      <w:bCs/>
      <w:i/>
      <w:iCs/>
      <w:sz w:val="28"/>
      <w:szCs w:val="28"/>
    </w:rPr>
  </w:style>
  <w:style w:type="paragraph" w:styleId="ad">
    <w:name w:val="Revision"/>
    <w:hidden/>
    <w:uiPriority w:val="99"/>
    <w:semiHidden/>
    <w:rsid w:val="00746F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Uralsib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Фудин Дмитрий Юрьевич</dc:creator>
  <cp:lastModifiedBy>sinelnat</cp:lastModifiedBy>
  <cp:revision>3</cp:revision>
  <cp:lastPrinted>2018-10-10T08:44:00Z</cp:lastPrinted>
  <dcterms:created xsi:type="dcterms:W3CDTF">2018-10-10T08:44:00Z</dcterms:created>
  <dcterms:modified xsi:type="dcterms:W3CDTF">2018-10-12T12:07:00Z</dcterms:modified>
</cp:coreProperties>
</file>