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8B" w:rsidRDefault="005B67E4" w:rsidP="002F3D8B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8516A0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132715</wp:posOffset>
            </wp:positionV>
            <wp:extent cx="1971675" cy="1114425"/>
            <wp:effectExtent l="19050" t="0" r="9525" b="0"/>
            <wp:wrapNone/>
            <wp:docPr id="11" name="Рисунок 8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D8B" w:rsidRDefault="002F3D8B" w:rsidP="002F3D8B">
      <w:pPr>
        <w:pStyle w:val="Default"/>
        <w:jc w:val="center"/>
        <w:rPr>
          <w:b/>
          <w:bCs/>
          <w:sz w:val="22"/>
          <w:szCs w:val="22"/>
        </w:rPr>
      </w:pPr>
    </w:p>
    <w:p w:rsidR="002F3D8B" w:rsidRDefault="002F3D8B" w:rsidP="002F3D8B">
      <w:pPr>
        <w:pStyle w:val="Default"/>
        <w:jc w:val="center"/>
        <w:rPr>
          <w:b/>
          <w:bCs/>
          <w:sz w:val="22"/>
          <w:szCs w:val="22"/>
        </w:rPr>
      </w:pPr>
    </w:p>
    <w:p w:rsidR="002F3D8B" w:rsidRDefault="002F3D8B" w:rsidP="002F3D8B">
      <w:pPr>
        <w:pStyle w:val="Default"/>
        <w:jc w:val="center"/>
        <w:rPr>
          <w:b/>
          <w:bCs/>
          <w:sz w:val="22"/>
          <w:szCs w:val="22"/>
        </w:rPr>
      </w:pPr>
    </w:p>
    <w:p w:rsidR="002F3D8B" w:rsidRDefault="002F3D8B" w:rsidP="002F3D8B">
      <w:pPr>
        <w:pStyle w:val="Default"/>
        <w:jc w:val="center"/>
        <w:rPr>
          <w:b/>
          <w:bCs/>
          <w:sz w:val="22"/>
          <w:szCs w:val="22"/>
        </w:rPr>
      </w:pPr>
    </w:p>
    <w:p w:rsidR="002F3D8B" w:rsidRDefault="002F3D8B" w:rsidP="002F3D8B">
      <w:pPr>
        <w:pStyle w:val="Default"/>
        <w:jc w:val="center"/>
        <w:rPr>
          <w:b/>
          <w:bCs/>
          <w:sz w:val="22"/>
          <w:szCs w:val="22"/>
        </w:rPr>
      </w:pPr>
    </w:p>
    <w:p w:rsidR="002F3D8B" w:rsidRDefault="002F3D8B" w:rsidP="002F3D8B">
      <w:pPr>
        <w:pStyle w:val="Default"/>
        <w:jc w:val="center"/>
        <w:rPr>
          <w:b/>
          <w:bCs/>
          <w:sz w:val="22"/>
          <w:szCs w:val="22"/>
        </w:rPr>
      </w:pPr>
    </w:p>
    <w:p w:rsidR="002F3D8B" w:rsidRDefault="002F3D8B" w:rsidP="002F3D8B">
      <w:pPr>
        <w:pStyle w:val="Default"/>
        <w:jc w:val="center"/>
        <w:rPr>
          <w:b/>
          <w:bCs/>
          <w:sz w:val="22"/>
          <w:szCs w:val="22"/>
        </w:rPr>
      </w:pPr>
    </w:p>
    <w:p w:rsidR="002F3D8B" w:rsidRDefault="002F3D8B" w:rsidP="002F3D8B">
      <w:pPr>
        <w:pStyle w:val="Default"/>
        <w:jc w:val="center"/>
        <w:rPr>
          <w:b/>
          <w:bCs/>
          <w:sz w:val="22"/>
          <w:szCs w:val="22"/>
        </w:rPr>
      </w:pPr>
    </w:p>
    <w:p w:rsidR="002F3D8B" w:rsidRPr="006305B5" w:rsidRDefault="002F3D8B" w:rsidP="002F3D8B">
      <w:pPr>
        <w:pStyle w:val="Default"/>
        <w:jc w:val="center"/>
        <w:rPr>
          <w:b/>
          <w:bCs/>
          <w:sz w:val="22"/>
          <w:szCs w:val="22"/>
        </w:rPr>
      </w:pPr>
      <w:r w:rsidRPr="006305B5">
        <w:rPr>
          <w:b/>
          <w:bCs/>
          <w:sz w:val="22"/>
          <w:szCs w:val="22"/>
        </w:rPr>
        <w:t>СТАНДАРТНАЯ СТРАТЕГИЯ УПРАВЛЕНИЯ</w:t>
      </w:r>
    </w:p>
    <w:p w:rsidR="002F3D8B" w:rsidRPr="006305B5" w:rsidRDefault="002F3D8B" w:rsidP="002F3D8B">
      <w:pPr>
        <w:pStyle w:val="Default"/>
        <w:jc w:val="center"/>
        <w:rPr>
          <w:b/>
          <w:bCs/>
          <w:sz w:val="22"/>
          <w:szCs w:val="22"/>
        </w:rPr>
      </w:pPr>
      <w:r w:rsidRPr="006305B5">
        <w:rPr>
          <w:b/>
          <w:bCs/>
          <w:sz w:val="22"/>
          <w:szCs w:val="22"/>
        </w:rPr>
        <w:t>«КОНСЕРВАТИВНАЯ»</w:t>
      </w:r>
    </w:p>
    <w:p w:rsidR="002F3D8B" w:rsidRDefault="002F3D8B" w:rsidP="002F3D8B">
      <w:pPr>
        <w:pStyle w:val="Default"/>
        <w:rPr>
          <w:b/>
          <w:bCs/>
          <w:sz w:val="22"/>
          <w:szCs w:val="22"/>
        </w:rPr>
      </w:pPr>
    </w:p>
    <w:p w:rsidR="002F3D8B" w:rsidRDefault="002F3D8B" w:rsidP="002F3D8B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Описание: </w:t>
      </w:r>
      <w:r>
        <w:rPr>
          <w:sz w:val="22"/>
          <w:szCs w:val="22"/>
        </w:rPr>
        <w:t>Стандартная стратегия управления «Консервативная» ориентирована на получение доходности на уровне выше уровня доходности по традиционным ба</w:t>
      </w:r>
      <w:r w:rsidR="00937B98">
        <w:rPr>
          <w:sz w:val="22"/>
          <w:szCs w:val="22"/>
        </w:rPr>
        <w:t>нковским депозитам, предлагаемым</w:t>
      </w:r>
      <w:r>
        <w:rPr>
          <w:sz w:val="22"/>
          <w:szCs w:val="22"/>
        </w:rPr>
        <w:t xml:space="preserve"> банками Российской Федерации, </w:t>
      </w:r>
      <w:r w:rsidR="001A2018">
        <w:rPr>
          <w:sz w:val="22"/>
          <w:szCs w:val="22"/>
        </w:rPr>
        <w:t>достигающейся консервативным способом управления</w:t>
      </w:r>
      <w:r>
        <w:rPr>
          <w:sz w:val="22"/>
          <w:szCs w:val="22"/>
        </w:rPr>
        <w:t xml:space="preserve"> путем вложения активов Учредителя управления в высоконадежные и ликвидные инструменты финансового рынка. </w:t>
      </w:r>
      <w:r w:rsidRPr="00785247">
        <w:rPr>
          <w:sz w:val="22"/>
          <w:szCs w:val="22"/>
        </w:rPr>
        <w:t xml:space="preserve">Управление имуществом Учредителя управления </w:t>
      </w:r>
      <w:r>
        <w:rPr>
          <w:sz w:val="22"/>
          <w:szCs w:val="22"/>
        </w:rPr>
        <w:t xml:space="preserve">в рамках Стандартной стратегии «Консервативная» </w:t>
      </w:r>
      <w:r w:rsidRPr="00785247">
        <w:rPr>
          <w:sz w:val="22"/>
          <w:szCs w:val="22"/>
        </w:rPr>
        <w:t xml:space="preserve">осуществляется на основе фундаментального анализа рынка ценных бумаг, исходя из расчета Учредителя управления на получение прибыли за счет роста курсовой стоимости ценных бумаг и получения иных </w:t>
      </w:r>
      <w:r>
        <w:rPr>
          <w:sz w:val="22"/>
          <w:szCs w:val="22"/>
        </w:rPr>
        <w:t>выплат по ценным бумагам</w:t>
      </w:r>
      <w:r w:rsidRPr="0078524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427DC4" w:rsidRPr="00427DC4" w:rsidRDefault="00427DC4" w:rsidP="002F3D8B">
      <w:pPr>
        <w:pStyle w:val="Default"/>
        <w:jc w:val="both"/>
        <w:rPr>
          <w:sz w:val="22"/>
          <w:szCs w:val="22"/>
        </w:rPr>
      </w:pPr>
      <w:r w:rsidRPr="00427DC4">
        <w:rPr>
          <w:b/>
          <w:sz w:val="22"/>
          <w:szCs w:val="22"/>
        </w:rPr>
        <w:t>Инвестиционный горизонт:</w:t>
      </w:r>
      <w:r w:rsidRPr="00427DC4">
        <w:rPr>
          <w:sz w:val="22"/>
          <w:szCs w:val="22"/>
        </w:rPr>
        <w:t xml:space="preserve"> 1 год</w:t>
      </w:r>
    </w:p>
    <w:p w:rsidR="00427DC4" w:rsidRPr="00A950A4" w:rsidRDefault="002F3D8B" w:rsidP="002F3D8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Минимальная сумма </w:t>
      </w:r>
      <w:r>
        <w:rPr>
          <w:sz w:val="22"/>
          <w:szCs w:val="22"/>
        </w:rPr>
        <w:t xml:space="preserve">активов в доверительном управлении согласно Стандартной стратегии управления «Консервативная» составляет: </w:t>
      </w:r>
      <w:r>
        <w:rPr>
          <w:b/>
          <w:sz w:val="22"/>
          <w:szCs w:val="22"/>
        </w:rPr>
        <w:t>5</w:t>
      </w:r>
      <w:r w:rsidR="00A950A4">
        <w:rPr>
          <w:b/>
          <w:bCs/>
          <w:sz w:val="22"/>
          <w:szCs w:val="22"/>
        </w:rPr>
        <w:t>00 000 (Пятьсот тысяч) рублей</w:t>
      </w:r>
    </w:p>
    <w:p w:rsidR="002F3D8B" w:rsidRDefault="00B14613" w:rsidP="002F3D8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Валюта стратегии: </w:t>
      </w:r>
      <w:r w:rsidRPr="00B14613">
        <w:rPr>
          <w:bCs/>
          <w:sz w:val="22"/>
          <w:szCs w:val="22"/>
        </w:rPr>
        <w:t>рубли РФ</w:t>
      </w:r>
      <w:r w:rsidR="002F3D8B">
        <w:rPr>
          <w:b/>
          <w:bCs/>
          <w:sz w:val="22"/>
          <w:szCs w:val="22"/>
        </w:rPr>
        <w:t xml:space="preserve"> </w:t>
      </w:r>
    </w:p>
    <w:p w:rsidR="00B14613" w:rsidRDefault="00B14613" w:rsidP="00B14613">
      <w:pPr>
        <w:spacing w:before="100" w:beforeAutospacing="1" w:after="100" w:afterAutospacing="1"/>
        <w:contextualSpacing/>
        <w:jc w:val="both"/>
        <w:rPr>
          <w:b/>
          <w:sz w:val="22"/>
          <w:szCs w:val="22"/>
        </w:rPr>
      </w:pPr>
      <w:r w:rsidRPr="002F0D99">
        <w:rPr>
          <w:b/>
          <w:bCs/>
          <w:sz w:val="22"/>
          <w:szCs w:val="22"/>
        </w:rPr>
        <w:t xml:space="preserve">Информация о </w:t>
      </w:r>
      <w:r w:rsidRPr="00F00448">
        <w:rPr>
          <w:b/>
          <w:sz w:val="22"/>
          <w:szCs w:val="22"/>
        </w:rPr>
        <w:t>Стандартной стратегии управления «Консервативная»</w:t>
      </w:r>
      <w:r>
        <w:rPr>
          <w:b/>
          <w:sz w:val="22"/>
          <w:szCs w:val="22"/>
        </w:rPr>
        <w:t>*:</w:t>
      </w:r>
    </w:p>
    <w:p w:rsidR="00B14613" w:rsidRDefault="00B14613" w:rsidP="00B14613">
      <w:pPr>
        <w:spacing w:before="100" w:beforeAutospacing="1" w:after="100" w:afterAutospacing="1"/>
        <w:contextualSpacing/>
        <w:jc w:val="both"/>
        <w:rPr>
          <w:b/>
          <w:bCs/>
          <w:sz w:val="22"/>
          <w:szCs w:val="22"/>
        </w:rPr>
      </w:pPr>
    </w:p>
    <w:p w:rsidR="00B14613" w:rsidRPr="006110C5" w:rsidRDefault="00B14613" w:rsidP="00B14613">
      <w:pPr>
        <w:spacing w:before="100" w:beforeAutospacing="1" w:after="100" w:afterAutospacing="1"/>
        <w:contextualSpacing/>
        <w:jc w:val="both"/>
        <w:rPr>
          <w:b/>
          <w:bCs/>
          <w:i/>
          <w:sz w:val="22"/>
          <w:szCs w:val="22"/>
        </w:rPr>
      </w:pPr>
      <w:r w:rsidRPr="00F00448">
        <w:rPr>
          <w:b/>
          <w:bCs/>
          <w:i/>
          <w:sz w:val="22"/>
          <w:szCs w:val="22"/>
        </w:rPr>
        <w:t xml:space="preserve">Цель инвестирования: </w:t>
      </w:r>
    </w:p>
    <w:p w:rsidR="00B14613" w:rsidRDefault="00B14613" w:rsidP="00B14613">
      <w:pPr>
        <w:spacing w:before="100" w:beforeAutospacing="1" w:after="100" w:afterAutospacing="1"/>
        <w:contextualSpacing/>
        <w:jc w:val="both"/>
        <w:rPr>
          <w:b/>
          <w:bCs/>
          <w:sz w:val="22"/>
          <w:szCs w:val="22"/>
        </w:rPr>
      </w:pPr>
      <w:r w:rsidRPr="002F0D99">
        <w:rPr>
          <w:rFonts w:eastAsiaTheme="minorHAnsi"/>
          <w:color w:val="000000"/>
          <w:sz w:val="22"/>
          <w:szCs w:val="22"/>
          <w:lang w:eastAsia="en-US"/>
        </w:rPr>
        <w:t xml:space="preserve">Получение дохода </w:t>
      </w:r>
      <w:r>
        <w:rPr>
          <w:sz w:val="22"/>
          <w:szCs w:val="22"/>
        </w:rPr>
        <w:t>на уровне выше уровня доходности по традиционным ба</w:t>
      </w:r>
      <w:r w:rsidR="00937B98">
        <w:rPr>
          <w:sz w:val="22"/>
          <w:szCs w:val="22"/>
        </w:rPr>
        <w:t>нковским депозитам, предлагаемым</w:t>
      </w:r>
      <w:r>
        <w:rPr>
          <w:sz w:val="22"/>
          <w:szCs w:val="22"/>
        </w:rPr>
        <w:t xml:space="preserve"> банками Российской Федерации</w:t>
      </w:r>
    </w:p>
    <w:p w:rsidR="00B14613" w:rsidRDefault="00B14613" w:rsidP="00B14613">
      <w:pPr>
        <w:spacing w:before="100" w:beforeAutospacing="1" w:after="100" w:afterAutospacing="1"/>
        <w:contextualSpacing/>
        <w:jc w:val="both"/>
        <w:rPr>
          <w:b/>
          <w:bCs/>
          <w:sz w:val="22"/>
          <w:szCs w:val="22"/>
        </w:rPr>
      </w:pPr>
    </w:p>
    <w:p w:rsidR="00B14613" w:rsidRPr="006110C5" w:rsidRDefault="00B14613" w:rsidP="00B14613">
      <w:pPr>
        <w:spacing w:before="100" w:beforeAutospacing="1" w:after="100" w:afterAutospacing="1"/>
        <w:contextualSpacing/>
        <w:jc w:val="both"/>
        <w:rPr>
          <w:b/>
          <w:bCs/>
          <w:i/>
          <w:sz w:val="22"/>
          <w:szCs w:val="22"/>
        </w:rPr>
      </w:pPr>
      <w:r w:rsidRPr="00F00448">
        <w:rPr>
          <w:b/>
          <w:bCs/>
          <w:i/>
          <w:sz w:val="22"/>
          <w:szCs w:val="22"/>
        </w:rPr>
        <w:t xml:space="preserve">Предполагаемый возраст клиента, которому может предлагаться </w:t>
      </w:r>
      <w:r w:rsidRPr="00F00448">
        <w:rPr>
          <w:b/>
          <w:i/>
          <w:sz w:val="22"/>
          <w:szCs w:val="22"/>
        </w:rPr>
        <w:t xml:space="preserve">Стандартная стратегия управления «Консервативная» (только для физических лиц): </w:t>
      </w:r>
    </w:p>
    <w:p w:rsidR="00B14613" w:rsidRDefault="00B14613" w:rsidP="00B14613">
      <w:pPr>
        <w:spacing w:before="100" w:beforeAutospacing="1" w:after="100" w:afterAutospacing="1"/>
        <w:contextualSpacing/>
        <w:jc w:val="both"/>
        <w:rPr>
          <w:bCs/>
          <w:sz w:val="22"/>
          <w:szCs w:val="22"/>
        </w:rPr>
      </w:pPr>
      <w:r w:rsidRPr="00F00448">
        <w:rPr>
          <w:bCs/>
          <w:sz w:val="22"/>
          <w:szCs w:val="22"/>
        </w:rPr>
        <w:t>От 20 до 60 лет</w:t>
      </w:r>
    </w:p>
    <w:p w:rsidR="00B14613" w:rsidRDefault="00B14613" w:rsidP="00B14613">
      <w:pPr>
        <w:spacing w:before="100" w:beforeAutospacing="1" w:after="100" w:afterAutospacing="1"/>
        <w:contextualSpacing/>
        <w:jc w:val="both"/>
        <w:rPr>
          <w:bCs/>
          <w:sz w:val="22"/>
          <w:szCs w:val="22"/>
        </w:rPr>
      </w:pPr>
    </w:p>
    <w:p w:rsidR="00B14613" w:rsidRPr="006110C5" w:rsidRDefault="00B14613" w:rsidP="00B14613">
      <w:pPr>
        <w:spacing w:before="100" w:beforeAutospacing="1" w:after="100" w:afterAutospacing="1"/>
        <w:contextualSpacing/>
        <w:jc w:val="both"/>
        <w:rPr>
          <w:b/>
          <w:i/>
          <w:sz w:val="22"/>
          <w:szCs w:val="22"/>
        </w:rPr>
      </w:pPr>
      <w:proofErr w:type="gramStart"/>
      <w:r w:rsidRPr="00F00448">
        <w:rPr>
          <w:b/>
          <w:bCs/>
          <w:i/>
          <w:sz w:val="22"/>
          <w:szCs w:val="22"/>
        </w:rPr>
        <w:t xml:space="preserve">Примерные среднемесячные доходы и примерные среднемесячные расходы за последние 12 месяцев клиента, которому может предлагаться </w:t>
      </w:r>
      <w:r w:rsidRPr="00F00448">
        <w:rPr>
          <w:b/>
          <w:i/>
          <w:sz w:val="22"/>
          <w:szCs w:val="22"/>
        </w:rPr>
        <w:t>Стандартная стратегия управления «Консервативная» (только для физических лиц):</w:t>
      </w:r>
      <w:proofErr w:type="gramEnd"/>
    </w:p>
    <w:p w:rsidR="00B14613" w:rsidRPr="006110C5" w:rsidRDefault="00B14613" w:rsidP="00B14613">
      <w:pPr>
        <w:spacing w:before="100" w:beforeAutospacing="1" w:after="100" w:afterAutospacing="1"/>
        <w:contextualSpacing/>
        <w:jc w:val="both"/>
        <w:rPr>
          <w:bCs/>
          <w:sz w:val="22"/>
          <w:szCs w:val="22"/>
        </w:rPr>
      </w:pPr>
      <w:proofErr w:type="gramStart"/>
      <w:r w:rsidRPr="00F00448">
        <w:rPr>
          <w:bCs/>
          <w:sz w:val="22"/>
          <w:szCs w:val="22"/>
        </w:rPr>
        <w:t>Примерные среднемесячные доходы за последние 12 месяцев клиента: не менее 100 тыс. руб./мес.</w:t>
      </w:r>
      <w:proofErr w:type="gramEnd"/>
    </w:p>
    <w:p w:rsidR="00B14613" w:rsidRPr="006110C5" w:rsidRDefault="00B14613" w:rsidP="00B14613">
      <w:pPr>
        <w:spacing w:before="100" w:beforeAutospacing="1" w:after="100" w:afterAutospacing="1"/>
        <w:contextualSpacing/>
        <w:jc w:val="both"/>
        <w:rPr>
          <w:bCs/>
          <w:sz w:val="22"/>
          <w:szCs w:val="22"/>
        </w:rPr>
      </w:pPr>
      <w:proofErr w:type="gramStart"/>
      <w:r w:rsidRPr="00F00448">
        <w:rPr>
          <w:bCs/>
          <w:sz w:val="22"/>
          <w:szCs w:val="22"/>
        </w:rPr>
        <w:t>Примерные среднемесячные расходы за последние 12 месяцев клиента: не более 70 тыс. руб.</w:t>
      </w:r>
      <w:r>
        <w:rPr>
          <w:bCs/>
          <w:sz w:val="22"/>
          <w:szCs w:val="22"/>
        </w:rPr>
        <w:t>/мес.</w:t>
      </w:r>
      <w:proofErr w:type="gramEnd"/>
    </w:p>
    <w:p w:rsidR="00B14613" w:rsidRDefault="00B14613" w:rsidP="00B14613">
      <w:pPr>
        <w:spacing w:before="100" w:beforeAutospacing="1" w:after="100" w:afterAutospacing="1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r w:rsidRPr="002C57EB">
        <w:rPr>
          <w:bCs/>
          <w:i/>
          <w:sz w:val="18"/>
          <w:szCs w:val="18"/>
        </w:rPr>
        <w:t>для клиентов, не являющихся квалифицированными инвесторами</w:t>
      </w:r>
    </w:p>
    <w:p w:rsidR="002F3D8B" w:rsidRDefault="002F3D8B" w:rsidP="002F3D8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Структура инвестиционного портфеля*</w:t>
      </w:r>
      <w:r w:rsidR="00C627A7"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 xml:space="preserve">: </w:t>
      </w:r>
    </w:p>
    <w:p w:rsidR="002F3D8B" w:rsidRPr="0094261A" w:rsidRDefault="002F3D8B" w:rsidP="002F3D8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4261A">
        <w:rPr>
          <w:sz w:val="22"/>
          <w:szCs w:val="22"/>
        </w:rPr>
        <w:t xml:space="preserve"> </w:t>
      </w:r>
      <w:r w:rsidRPr="0094261A">
        <w:rPr>
          <w:rFonts w:eastAsiaTheme="minorHAnsi"/>
          <w:sz w:val="22"/>
          <w:szCs w:val="22"/>
          <w:lang w:eastAsia="en-US"/>
        </w:rPr>
        <w:t>Государственные облигации Российской Федерации в национальной валюте</w:t>
      </w:r>
      <w:r>
        <w:rPr>
          <w:rFonts w:eastAsiaTheme="minorHAnsi"/>
          <w:sz w:val="22"/>
          <w:szCs w:val="22"/>
          <w:lang w:eastAsia="en-US"/>
        </w:rPr>
        <w:t>;</w:t>
      </w:r>
      <w:r w:rsidRPr="0094261A">
        <w:rPr>
          <w:rFonts w:eastAsiaTheme="minorHAnsi"/>
          <w:sz w:val="22"/>
          <w:szCs w:val="22"/>
          <w:lang w:eastAsia="en-US"/>
        </w:rPr>
        <w:t xml:space="preserve"> </w:t>
      </w:r>
    </w:p>
    <w:p w:rsidR="002F3D8B" w:rsidRPr="0094261A" w:rsidRDefault="002F3D8B" w:rsidP="002F3D8B">
      <w:pPr>
        <w:pStyle w:val="Default"/>
        <w:spacing w:after="62"/>
        <w:jc w:val="both"/>
        <w:rPr>
          <w:sz w:val="22"/>
          <w:szCs w:val="22"/>
        </w:rPr>
      </w:pPr>
      <w:r w:rsidRPr="0094261A">
        <w:rPr>
          <w:sz w:val="22"/>
          <w:szCs w:val="22"/>
        </w:rPr>
        <w:t xml:space="preserve"> </w:t>
      </w:r>
      <w:r>
        <w:rPr>
          <w:sz w:val="22"/>
          <w:szCs w:val="22"/>
        </w:rPr>
        <w:t>М</w:t>
      </w:r>
      <w:r w:rsidRPr="0094261A">
        <w:rPr>
          <w:rFonts w:eastAsiaTheme="minorHAnsi"/>
          <w:sz w:val="22"/>
          <w:szCs w:val="22"/>
          <w:lang w:eastAsia="en-US"/>
        </w:rPr>
        <w:t>униципальные облигации субъектов Российской Федерации в национальной валюте;</w:t>
      </w:r>
    </w:p>
    <w:p w:rsidR="002F3D8B" w:rsidRDefault="002F3D8B" w:rsidP="002F3D8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4261A">
        <w:rPr>
          <w:sz w:val="22"/>
          <w:szCs w:val="22"/>
        </w:rPr>
        <w:t xml:space="preserve"> </w:t>
      </w:r>
      <w:r w:rsidRPr="0094261A">
        <w:rPr>
          <w:rFonts w:eastAsiaTheme="minorHAnsi"/>
          <w:sz w:val="22"/>
          <w:szCs w:val="22"/>
          <w:lang w:eastAsia="en-US"/>
        </w:rPr>
        <w:t>Облигации, вы</w:t>
      </w:r>
      <w:r>
        <w:rPr>
          <w:rFonts w:eastAsiaTheme="minorHAnsi"/>
          <w:sz w:val="22"/>
          <w:szCs w:val="22"/>
          <w:lang w:eastAsia="en-US"/>
        </w:rPr>
        <w:t>пущенные российскими эмитентами</w:t>
      </w:r>
      <w:r w:rsidRPr="009110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и</w:t>
      </w:r>
      <w:r w:rsidRPr="0094261A">
        <w:rPr>
          <w:rFonts w:eastAsiaTheme="minorHAnsi"/>
          <w:sz w:val="22"/>
          <w:szCs w:val="22"/>
          <w:lang w:eastAsia="en-US"/>
        </w:rPr>
        <w:t xml:space="preserve"> допущенные к организованным торгам;</w:t>
      </w:r>
    </w:p>
    <w:p w:rsidR="002F3D8B" w:rsidRPr="000D5F75" w:rsidRDefault="002F3D8B" w:rsidP="002F3D8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4261A">
        <w:rPr>
          <w:sz w:val="22"/>
          <w:szCs w:val="22"/>
        </w:rPr>
        <w:t></w:t>
      </w:r>
      <w:r>
        <w:rPr>
          <w:sz w:val="22"/>
          <w:szCs w:val="22"/>
        </w:rPr>
        <w:t xml:space="preserve"> </w:t>
      </w:r>
      <w:r w:rsidRPr="000D5F75">
        <w:rPr>
          <w:rFonts w:eastAsiaTheme="minorHAnsi"/>
          <w:sz w:val="22"/>
          <w:szCs w:val="22"/>
          <w:lang w:eastAsia="en-US"/>
        </w:rPr>
        <w:t xml:space="preserve">Акции российских эмитентов, </w:t>
      </w:r>
      <w:r w:rsidRPr="0094261A">
        <w:rPr>
          <w:rFonts w:eastAsiaTheme="minorHAnsi"/>
          <w:sz w:val="22"/>
          <w:szCs w:val="22"/>
          <w:lang w:eastAsia="en-US"/>
        </w:rPr>
        <w:t>допущенные к организованным торгам</w:t>
      </w:r>
      <w:r w:rsidR="00B14613">
        <w:rPr>
          <w:rFonts w:eastAsiaTheme="minorHAnsi"/>
          <w:sz w:val="22"/>
          <w:szCs w:val="22"/>
          <w:lang w:eastAsia="en-US"/>
        </w:rPr>
        <w:t>.</w:t>
      </w:r>
    </w:p>
    <w:p w:rsidR="00427DC4" w:rsidRPr="00427DC4" w:rsidRDefault="00427DC4" w:rsidP="002F3D8B">
      <w:pPr>
        <w:pStyle w:val="Default"/>
        <w:spacing w:after="62"/>
        <w:rPr>
          <w:sz w:val="10"/>
          <w:szCs w:val="10"/>
        </w:rPr>
      </w:pPr>
    </w:p>
    <w:p w:rsidR="000A4225" w:rsidRPr="000A4C5C" w:rsidRDefault="000A4225" w:rsidP="000A4225">
      <w:pPr>
        <w:rPr>
          <w:rFonts w:eastAsiaTheme="minorHAnsi"/>
          <w:b/>
          <w:bCs/>
          <w:sz w:val="22"/>
          <w:szCs w:val="22"/>
          <w:lang w:eastAsia="en-US"/>
        </w:rPr>
      </w:pPr>
      <w:r w:rsidRPr="000A4C5C">
        <w:rPr>
          <w:rFonts w:eastAsiaTheme="minorHAnsi"/>
          <w:b/>
          <w:bCs/>
          <w:sz w:val="22"/>
          <w:szCs w:val="22"/>
          <w:lang w:eastAsia="en-US"/>
        </w:rPr>
        <w:t>Ограничения для Доверительного управляющего: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9"/>
        <w:gridCol w:w="5064"/>
      </w:tblGrid>
      <w:tr w:rsidR="000A4225" w:rsidRPr="000A4C5C" w:rsidTr="000A4225">
        <w:trPr>
          <w:trHeight w:val="479"/>
        </w:trPr>
        <w:tc>
          <w:tcPr>
            <w:tcW w:w="5109" w:type="dxa"/>
          </w:tcPr>
          <w:p w:rsidR="000A4225" w:rsidRPr="000A4C5C" w:rsidRDefault="000A4225" w:rsidP="000A42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A4C5C">
              <w:rPr>
                <w:sz w:val="18"/>
                <w:szCs w:val="18"/>
              </w:rPr>
              <w:t>Возможность заключать сделки РЕПО</w:t>
            </w:r>
          </w:p>
        </w:tc>
        <w:tc>
          <w:tcPr>
            <w:tcW w:w="5064" w:type="dxa"/>
          </w:tcPr>
          <w:p w:rsidR="000A4225" w:rsidRPr="000A4C5C" w:rsidRDefault="000A4225" w:rsidP="000A42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0A4C5C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>Предусмотрена</w:t>
            </w:r>
            <w:proofErr w:type="gramEnd"/>
            <w:r w:rsidRPr="000A4C5C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 xml:space="preserve"> на биржевом рынке с использованием Центрального контрагента </w:t>
            </w:r>
          </w:p>
        </w:tc>
      </w:tr>
      <w:tr w:rsidR="000A4225" w:rsidRPr="000A4C5C" w:rsidTr="000A4225">
        <w:trPr>
          <w:trHeight w:val="286"/>
        </w:trPr>
        <w:tc>
          <w:tcPr>
            <w:tcW w:w="5109" w:type="dxa"/>
          </w:tcPr>
          <w:p w:rsidR="000A4225" w:rsidRPr="000A4C5C" w:rsidRDefault="000A4225" w:rsidP="000A42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A4C5C">
              <w:rPr>
                <w:sz w:val="18"/>
                <w:szCs w:val="18"/>
              </w:rPr>
              <w:t>Возможность заключать внебиржевые сделки</w:t>
            </w:r>
            <w:r w:rsidRPr="000A4C5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64" w:type="dxa"/>
          </w:tcPr>
          <w:p w:rsidR="000A4225" w:rsidRPr="000A4C5C" w:rsidRDefault="000A4225" w:rsidP="000A42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A4C5C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>Предусмотрена</w:t>
            </w:r>
          </w:p>
        </w:tc>
      </w:tr>
      <w:tr w:rsidR="000A4225" w:rsidRPr="000D5F75" w:rsidTr="000A4225">
        <w:trPr>
          <w:trHeight w:val="286"/>
        </w:trPr>
        <w:tc>
          <w:tcPr>
            <w:tcW w:w="5109" w:type="dxa"/>
          </w:tcPr>
          <w:p w:rsidR="000A4225" w:rsidRPr="000A4C5C" w:rsidRDefault="000A4225" w:rsidP="000A42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A4C5C">
              <w:rPr>
                <w:sz w:val="18"/>
                <w:szCs w:val="18"/>
              </w:rPr>
              <w:t>Возможность заключать договоры, являющиеся ПФИ</w:t>
            </w:r>
          </w:p>
        </w:tc>
        <w:tc>
          <w:tcPr>
            <w:tcW w:w="5064" w:type="dxa"/>
          </w:tcPr>
          <w:p w:rsidR="000A4225" w:rsidRPr="00BB4C44" w:rsidRDefault="000A4225" w:rsidP="000A42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A4C5C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 xml:space="preserve"> Не предусмотрена</w:t>
            </w:r>
          </w:p>
        </w:tc>
      </w:tr>
    </w:tbl>
    <w:p w:rsidR="002F3D8B" w:rsidRPr="00427DC4" w:rsidRDefault="002F3D8B" w:rsidP="002F3D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427DC4">
        <w:rPr>
          <w:rFonts w:eastAsiaTheme="minorHAnsi"/>
          <w:lang w:eastAsia="en-US"/>
        </w:rPr>
        <w:t xml:space="preserve">Доверительный управляющий не может приобретать в состав Инвестиционного портфеля Учредителя управления ценные бумаги организаций, находящихся в процессе ликвидации, а также признанных банкротами, либо в отношении которых открыто конкурсное, либо судебное производство в соответствии с законодательством </w:t>
      </w:r>
      <w:r w:rsidRPr="00427DC4">
        <w:rPr>
          <w:rFonts w:eastAsiaTheme="minorHAnsi"/>
          <w:lang w:eastAsia="en-US"/>
        </w:rPr>
        <w:lastRenderedPageBreak/>
        <w:t>Российской Федерации о несостоятельности (банкротстве), если информация об этом была раскрыта в соответствии с порядком, установленным нормативными правовыми актами Российской Федерации.</w:t>
      </w:r>
      <w:proofErr w:type="gramEnd"/>
    </w:p>
    <w:p w:rsidR="002F3D8B" w:rsidRPr="00427DC4" w:rsidRDefault="002F3D8B" w:rsidP="002F3D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F3D8B" w:rsidRPr="00427DC4" w:rsidRDefault="002F3D8B" w:rsidP="002F3D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27DC4">
        <w:rPr>
          <w:rFonts w:eastAsiaTheme="minorHAnsi"/>
          <w:lang w:eastAsia="en-US"/>
        </w:rPr>
        <w:t xml:space="preserve">Доверительный управляющий не может приобретать в состав Инвестиционного портфеля Учредителя управления ценные бумаги, выпущенные им или его </w:t>
      </w:r>
      <w:proofErr w:type="spellStart"/>
      <w:r w:rsidRPr="00427DC4">
        <w:rPr>
          <w:rFonts w:eastAsiaTheme="minorHAnsi"/>
          <w:lang w:eastAsia="en-US"/>
        </w:rPr>
        <w:t>аффилированными</w:t>
      </w:r>
      <w:proofErr w:type="spellEnd"/>
      <w:r w:rsidRPr="00427DC4">
        <w:rPr>
          <w:rFonts w:eastAsiaTheme="minorHAnsi"/>
          <w:lang w:eastAsia="en-US"/>
        </w:rPr>
        <w:t xml:space="preserve"> лицами, за исключением ценных бумаг, включенных в котировальные списки организатора торговли</w:t>
      </w:r>
      <w:r w:rsidRPr="00427DC4">
        <w:rPr>
          <w:rFonts w:eastAsia="TT119Co00"/>
          <w:lang w:eastAsia="en-US"/>
        </w:rPr>
        <w:t>.</w:t>
      </w:r>
    </w:p>
    <w:p w:rsidR="002F3D8B" w:rsidRPr="00427DC4" w:rsidRDefault="002F3D8B" w:rsidP="002F3D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F3D8B" w:rsidRPr="00427DC4" w:rsidRDefault="002F3D8B" w:rsidP="002F3D8B">
      <w:pPr>
        <w:autoSpaceDE w:val="0"/>
        <w:autoSpaceDN w:val="0"/>
        <w:adjustRightInd w:val="0"/>
        <w:jc w:val="both"/>
        <w:rPr>
          <w:rFonts w:eastAsia="TT119Co00"/>
          <w:lang w:eastAsia="en-US"/>
        </w:rPr>
      </w:pPr>
      <w:proofErr w:type="gramStart"/>
      <w:r w:rsidRPr="00427DC4">
        <w:rPr>
          <w:rFonts w:eastAsia="TT119Co00"/>
          <w:lang w:eastAsia="en-US"/>
        </w:rPr>
        <w:t xml:space="preserve">Доверительный управляющий вправе приобретать в состав  Инвестиционного  портфеля  Учредителя управления ценные бумаги при их первичном и последующих размещениях, при условии соблюдения  прочих  требований </w:t>
      </w:r>
      <w:r w:rsidRPr="00427DC4">
        <w:t>Стандартной стратегии управления</w:t>
      </w:r>
      <w:r w:rsidR="00B14613">
        <w:t xml:space="preserve"> «Консервативная»</w:t>
      </w:r>
      <w:r w:rsidRPr="00427DC4">
        <w:rPr>
          <w:rFonts w:eastAsia="TT119Co00"/>
          <w:lang w:eastAsia="en-US"/>
        </w:rPr>
        <w:t>.</w:t>
      </w:r>
      <w:proofErr w:type="gramEnd"/>
    </w:p>
    <w:p w:rsidR="002F3D8B" w:rsidRPr="00BB4C44" w:rsidRDefault="002F3D8B" w:rsidP="002F3D8B">
      <w:pPr>
        <w:autoSpaceDE w:val="0"/>
        <w:autoSpaceDN w:val="0"/>
        <w:adjustRightInd w:val="0"/>
        <w:rPr>
          <w:rFonts w:eastAsia="TT119Co00"/>
          <w:sz w:val="10"/>
          <w:szCs w:val="10"/>
          <w:lang w:eastAsia="en-US"/>
        </w:rPr>
      </w:pPr>
    </w:p>
    <w:p w:rsidR="002F3D8B" w:rsidRPr="00427DC4" w:rsidRDefault="002F3D8B" w:rsidP="002F3D8B">
      <w:pPr>
        <w:pStyle w:val="Default"/>
        <w:jc w:val="both"/>
        <w:rPr>
          <w:i/>
          <w:sz w:val="16"/>
          <w:szCs w:val="16"/>
        </w:rPr>
      </w:pPr>
      <w:r w:rsidRPr="00427DC4">
        <w:rPr>
          <w:i/>
          <w:sz w:val="16"/>
          <w:szCs w:val="16"/>
        </w:rPr>
        <w:t>*</w:t>
      </w:r>
      <w:r w:rsidR="00C627A7">
        <w:rPr>
          <w:i/>
          <w:sz w:val="16"/>
          <w:szCs w:val="16"/>
        </w:rPr>
        <w:t>*</w:t>
      </w:r>
      <w:r w:rsidRPr="00427DC4">
        <w:rPr>
          <w:i/>
          <w:sz w:val="16"/>
          <w:szCs w:val="16"/>
        </w:rPr>
        <w:t xml:space="preserve">Структура Инвестиционного портфеля </w:t>
      </w:r>
      <w:r w:rsidR="009332E8" w:rsidRPr="00427DC4">
        <w:rPr>
          <w:i/>
          <w:sz w:val="16"/>
          <w:szCs w:val="16"/>
        </w:rPr>
        <w:t xml:space="preserve">(доля тех или иных активов в Инвестиционном портфеле) </w:t>
      </w:r>
      <w:r w:rsidRPr="00427DC4">
        <w:rPr>
          <w:i/>
          <w:sz w:val="16"/>
          <w:szCs w:val="16"/>
        </w:rPr>
        <w:t>зависи</w:t>
      </w:r>
      <w:r w:rsidR="009332E8" w:rsidRPr="00427DC4">
        <w:rPr>
          <w:i/>
          <w:sz w:val="16"/>
          <w:szCs w:val="16"/>
        </w:rPr>
        <w:t>т</w:t>
      </w:r>
      <w:r w:rsidRPr="00427DC4">
        <w:rPr>
          <w:i/>
          <w:sz w:val="16"/>
          <w:szCs w:val="16"/>
        </w:rPr>
        <w:t xml:space="preserve"> от конъюнктуры рынка и </w:t>
      </w:r>
      <w:r w:rsidR="009332E8" w:rsidRPr="00427DC4">
        <w:rPr>
          <w:i/>
          <w:sz w:val="16"/>
          <w:szCs w:val="16"/>
        </w:rPr>
        <w:t>формируется</w:t>
      </w:r>
      <w:r w:rsidRPr="00427DC4">
        <w:rPr>
          <w:i/>
          <w:sz w:val="16"/>
          <w:szCs w:val="16"/>
        </w:rPr>
        <w:t xml:space="preserve"> по решению Доверительного управляющего. </w:t>
      </w:r>
    </w:p>
    <w:p w:rsidR="00BB4C44" w:rsidRPr="006305B5" w:rsidRDefault="00BB4C44" w:rsidP="002F3D8B">
      <w:pPr>
        <w:pStyle w:val="Default"/>
        <w:jc w:val="both"/>
        <w:rPr>
          <w:i/>
          <w:sz w:val="20"/>
          <w:szCs w:val="20"/>
        </w:rPr>
      </w:pPr>
    </w:p>
    <w:p w:rsidR="00C627A7" w:rsidRDefault="00C627A7" w:rsidP="00C627A7">
      <w:pPr>
        <w:pStyle w:val="3"/>
        <w:rPr>
          <w:b/>
          <w:sz w:val="22"/>
          <w:szCs w:val="22"/>
        </w:rPr>
      </w:pPr>
      <w:r w:rsidRPr="00DA70A6">
        <w:rPr>
          <w:b/>
          <w:bCs/>
          <w:sz w:val="22"/>
          <w:szCs w:val="22"/>
        </w:rPr>
        <w:t xml:space="preserve">Описание рисков, связанных со </w:t>
      </w:r>
      <w:r w:rsidRPr="00F00448">
        <w:rPr>
          <w:b/>
          <w:sz w:val="22"/>
          <w:szCs w:val="22"/>
        </w:rPr>
        <w:t>Стандартной стратегией управления «Консервативная»:</w:t>
      </w:r>
      <w:r>
        <w:rPr>
          <w:b/>
          <w:sz w:val="22"/>
          <w:szCs w:val="22"/>
        </w:rPr>
        <w:t xml:space="preserve"> </w:t>
      </w:r>
    </w:p>
    <w:p w:rsidR="00C627A7" w:rsidRDefault="00C627A7" w:rsidP="00C627A7">
      <w:pPr>
        <w:pStyle w:val="3"/>
        <w:rPr>
          <w:sz w:val="22"/>
          <w:szCs w:val="22"/>
        </w:rPr>
      </w:pPr>
      <w:proofErr w:type="gramStart"/>
      <w:r w:rsidRPr="00F00448">
        <w:rPr>
          <w:sz w:val="22"/>
          <w:szCs w:val="22"/>
        </w:rPr>
        <w:t>Стандартн</w:t>
      </w:r>
      <w:r>
        <w:rPr>
          <w:sz w:val="22"/>
          <w:szCs w:val="22"/>
        </w:rPr>
        <w:t>ая</w:t>
      </w:r>
      <w:r w:rsidRPr="00F00448">
        <w:rPr>
          <w:sz w:val="22"/>
          <w:szCs w:val="22"/>
        </w:rPr>
        <w:t xml:space="preserve"> с</w:t>
      </w:r>
      <w:r w:rsidR="0013553F">
        <w:rPr>
          <w:sz w:val="22"/>
          <w:szCs w:val="22"/>
        </w:rPr>
        <w:t>тратегия</w:t>
      </w:r>
      <w:r w:rsidRPr="00F00448">
        <w:rPr>
          <w:sz w:val="22"/>
          <w:szCs w:val="22"/>
        </w:rPr>
        <w:t xml:space="preserve"> управления «Консервативная»</w:t>
      </w:r>
      <w:r w:rsidRPr="00F00448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влечет за собой </w:t>
      </w:r>
      <w:r w:rsidR="0013553F">
        <w:rPr>
          <w:sz w:val="22"/>
          <w:szCs w:val="22"/>
        </w:rPr>
        <w:t>следующие</w:t>
      </w:r>
      <w:r>
        <w:rPr>
          <w:sz w:val="22"/>
          <w:szCs w:val="22"/>
        </w:rPr>
        <w:t xml:space="preserve"> риски</w:t>
      </w:r>
      <w:r w:rsidR="0013553F">
        <w:rPr>
          <w:sz w:val="22"/>
          <w:szCs w:val="22"/>
        </w:rPr>
        <w:t>: системный, рыночный, ликвидности, кредитный, правовой, операционный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="0013553F">
        <w:rPr>
          <w:sz w:val="22"/>
          <w:szCs w:val="22"/>
        </w:rPr>
        <w:t>Подробное</w:t>
      </w:r>
      <w:r w:rsidRPr="00C407A4">
        <w:rPr>
          <w:sz w:val="22"/>
          <w:szCs w:val="22"/>
        </w:rPr>
        <w:t xml:space="preserve"> описание рисков, </w:t>
      </w:r>
      <w:r w:rsidRPr="00C407A4">
        <w:rPr>
          <w:bCs/>
          <w:sz w:val="22"/>
          <w:szCs w:val="22"/>
        </w:rPr>
        <w:t xml:space="preserve">связанных со </w:t>
      </w:r>
      <w:r w:rsidRPr="00C407A4">
        <w:rPr>
          <w:sz w:val="22"/>
          <w:szCs w:val="22"/>
        </w:rPr>
        <w:t>Стандартной стратегией управления «Консервативная»,</w:t>
      </w:r>
      <w:r>
        <w:rPr>
          <w:sz w:val="22"/>
          <w:szCs w:val="22"/>
        </w:rPr>
        <w:t xml:space="preserve"> представлено в Приложении №8 </w:t>
      </w:r>
      <w:r w:rsidRPr="000A4C5C">
        <w:rPr>
          <w:sz w:val="22"/>
          <w:szCs w:val="22"/>
        </w:rPr>
        <w:t>«Декларация о рисках»</w:t>
      </w:r>
      <w:r>
        <w:rPr>
          <w:sz w:val="22"/>
          <w:szCs w:val="22"/>
        </w:rPr>
        <w:t xml:space="preserve"> к Договору доверительного управления ценными бумагами и средствами инвестирования в ценные бумаги.</w:t>
      </w:r>
    </w:p>
    <w:p w:rsidR="00C627A7" w:rsidRDefault="00C627A7" w:rsidP="00C627A7">
      <w:pPr>
        <w:pStyle w:val="3"/>
        <w:rPr>
          <w:b/>
          <w:bCs/>
          <w:sz w:val="22"/>
          <w:szCs w:val="22"/>
        </w:rPr>
      </w:pPr>
    </w:p>
    <w:p w:rsidR="00C627A7" w:rsidRDefault="00C627A7" w:rsidP="00C627A7">
      <w:pPr>
        <w:pStyle w:val="3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Информация о в</w:t>
      </w:r>
      <w:r w:rsidRPr="006305B5">
        <w:rPr>
          <w:b/>
          <w:bCs/>
          <w:sz w:val="22"/>
          <w:szCs w:val="22"/>
        </w:rPr>
        <w:t>ознагражден</w:t>
      </w:r>
      <w:r>
        <w:rPr>
          <w:b/>
          <w:bCs/>
          <w:sz w:val="22"/>
          <w:szCs w:val="22"/>
        </w:rPr>
        <w:t>ии Доверительного у</w:t>
      </w:r>
      <w:r w:rsidRPr="006305B5">
        <w:rPr>
          <w:b/>
          <w:bCs/>
          <w:sz w:val="22"/>
          <w:szCs w:val="22"/>
        </w:rPr>
        <w:t>правляющего</w:t>
      </w:r>
      <w:r>
        <w:rPr>
          <w:b/>
          <w:bCs/>
          <w:sz w:val="22"/>
          <w:szCs w:val="22"/>
        </w:rPr>
        <w:t xml:space="preserve"> и расходах, связанных с доверительным управлением, по </w:t>
      </w:r>
      <w:r w:rsidR="000A4C5C">
        <w:rPr>
          <w:b/>
          <w:sz w:val="22"/>
          <w:szCs w:val="22"/>
        </w:rPr>
        <w:t>Стандартной стратегии</w:t>
      </w:r>
      <w:r w:rsidRPr="00F00448">
        <w:rPr>
          <w:b/>
          <w:sz w:val="22"/>
          <w:szCs w:val="22"/>
        </w:rPr>
        <w:t xml:space="preserve"> управления «Консервативная»</w:t>
      </w:r>
      <w:r w:rsidRPr="006305B5">
        <w:rPr>
          <w:b/>
          <w:bCs/>
          <w:sz w:val="22"/>
          <w:szCs w:val="22"/>
        </w:rPr>
        <w:t>:</w:t>
      </w:r>
      <w:r w:rsidRPr="006305B5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представлена</w:t>
      </w:r>
      <w:r w:rsidRPr="006305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 w:rsidRPr="006305B5">
        <w:rPr>
          <w:sz w:val="22"/>
          <w:szCs w:val="22"/>
        </w:rPr>
        <w:t>Приложени</w:t>
      </w:r>
      <w:r>
        <w:rPr>
          <w:sz w:val="22"/>
          <w:szCs w:val="22"/>
        </w:rPr>
        <w:t>и</w:t>
      </w:r>
      <w:r w:rsidRPr="006305B5">
        <w:rPr>
          <w:sz w:val="22"/>
          <w:szCs w:val="22"/>
        </w:rPr>
        <w:t xml:space="preserve"> №</w:t>
      </w:r>
      <w:r>
        <w:rPr>
          <w:sz w:val="22"/>
          <w:szCs w:val="22"/>
        </w:rPr>
        <w:t>4</w:t>
      </w:r>
      <w:r w:rsidRPr="006305B5">
        <w:rPr>
          <w:sz w:val="22"/>
          <w:szCs w:val="22"/>
        </w:rPr>
        <w:t xml:space="preserve"> </w:t>
      </w:r>
      <w:r w:rsidRPr="000A4C5C">
        <w:rPr>
          <w:sz w:val="22"/>
          <w:szCs w:val="22"/>
        </w:rPr>
        <w:t>«Порядок определения финансовых результатов доверительного управления и вознаграждения Доверительного управляющего»</w:t>
      </w:r>
      <w:r>
        <w:rPr>
          <w:sz w:val="22"/>
          <w:szCs w:val="22"/>
        </w:rPr>
        <w:t xml:space="preserve"> к Договору </w:t>
      </w:r>
      <w:r w:rsidRPr="006305B5">
        <w:rPr>
          <w:sz w:val="22"/>
          <w:szCs w:val="22"/>
        </w:rPr>
        <w:t xml:space="preserve">доверительного управления ценными бумагами и средствами инвестирования в ценные бумаги. </w:t>
      </w:r>
      <w:proofErr w:type="gramEnd"/>
    </w:p>
    <w:p w:rsidR="00C627A7" w:rsidRDefault="00C627A7" w:rsidP="002F3D8B">
      <w:pPr>
        <w:rPr>
          <w:b/>
          <w:i/>
        </w:rPr>
      </w:pPr>
    </w:p>
    <w:p w:rsidR="00C627A7" w:rsidRDefault="00C627A7" w:rsidP="002F3D8B">
      <w:pPr>
        <w:rPr>
          <w:b/>
          <w:i/>
        </w:rPr>
      </w:pPr>
    </w:p>
    <w:p w:rsidR="00C627A7" w:rsidRDefault="00C627A7" w:rsidP="002F3D8B">
      <w:pPr>
        <w:rPr>
          <w:b/>
          <w:i/>
        </w:rPr>
      </w:pPr>
    </w:p>
    <w:p w:rsidR="009A4CD0" w:rsidRDefault="009A4CD0" w:rsidP="002F3D8B">
      <w:pPr>
        <w:rPr>
          <w:b/>
          <w:i/>
        </w:rPr>
      </w:pPr>
    </w:p>
    <w:p w:rsidR="009A4CD0" w:rsidRDefault="009A4CD0" w:rsidP="002F3D8B">
      <w:pPr>
        <w:rPr>
          <w:b/>
          <w:i/>
        </w:rPr>
      </w:pPr>
    </w:p>
    <w:p w:rsidR="009A4CD0" w:rsidRDefault="009A4CD0" w:rsidP="002F3D8B">
      <w:pPr>
        <w:rPr>
          <w:b/>
          <w:i/>
        </w:rPr>
      </w:pPr>
    </w:p>
    <w:p w:rsidR="009A4CD0" w:rsidRDefault="009A4CD0" w:rsidP="002F3D8B">
      <w:pPr>
        <w:rPr>
          <w:b/>
          <w:i/>
        </w:rPr>
      </w:pPr>
    </w:p>
    <w:p w:rsidR="009A4CD0" w:rsidRDefault="009A4CD0" w:rsidP="002F3D8B">
      <w:pPr>
        <w:rPr>
          <w:b/>
          <w:i/>
        </w:rPr>
      </w:pPr>
    </w:p>
    <w:p w:rsidR="009A4CD0" w:rsidRDefault="009A4CD0" w:rsidP="002F3D8B">
      <w:pPr>
        <w:rPr>
          <w:b/>
          <w:i/>
        </w:rPr>
      </w:pPr>
    </w:p>
    <w:p w:rsidR="009A4CD0" w:rsidRDefault="009A4CD0" w:rsidP="002F3D8B">
      <w:pPr>
        <w:rPr>
          <w:b/>
          <w:i/>
        </w:rPr>
      </w:pPr>
    </w:p>
    <w:p w:rsidR="009A4CD0" w:rsidRDefault="009A4CD0" w:rsidP="002F3D8B">
      <w:pPr>
        <w:rPr>
          <w:b/>
          <w:i/>
        </w:rPr>
      </w:pPr>
    </w:p>
    <w:p w:rsidR="009A4CD0" w:rsidRDefault="009A4CD0" w:rsidP="002F3D8B">
      <w:pPr>
        <w:rPr>
          <w:b/>
          <w:i/>
        </w:rPr>
      </w:pPr>
    </w:p>
    <w:p w:rsidR="009A4CD0" w:rsidRDefault="009A4CD0" w:rsidP="002F3D8B">
      <w:pPr>
        <w:rPr>
          <w:b/>
          <w:i/>
        </w:rPr>
      </w:pPr>
    </w:p>
    <w:p w:rsidR="009A4CD0" w:rsidRDefault="009A4CD0" w:rsidP="002F3D8B">
      <w:pPr>
        <w:rPr>
          <w:b/>
          <w:i/>
        </w:rPr>
      </w:pPr>
    </w:p>
    <w:p w:rsidR="009A4CD0" w:rsidRDefault="009A4CD0" w:rsidP="002F3D8B">
      <w:pPr>
        <w:rPr>
          <w:b/>
          <w:i/>
        </w:rPr>
      </w:pPr>
    </w:p>
    <w:p w:rsidR="009A4CD0" w:rsidRDefault="009A4CD0" w:rsidP="002F3D8B">
      <w:pPr>
        <w:rPr>
          <w:b/>
          <w:i/>
        </w:rPr>
      </w:pPr>
    </w:p>
    <w:p w:rsidR="009A4CD0" w:rsidRPr="00C627A7" w:rsidRDefault="009A4CD0" w:rsidP="002F3D8B">
      <w:pPr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9A4CD0" w:rsidRDefault="009A4CD0" w:rsidP="002F3D8B">
      <w:pPr>
        <w:jc w:val="right"/>
        <w:rPr>
          <w:b/>
          <w:i/>
        </w:rPr>
      </w:pPr>
    </w:p>
    <w:p w:rsidR="0044782C" w:rsidRDefault="0044782C">
      <w:pPr>
        <w:jc w:val="right"/>
      </w:pPr>
    </w:p>
    <w:sectPr w:rsidR="0044782C" w:rsidSect="005C76E9">
      <w:footerReference w:type="default" r:id="rId9"/>
      <w:pgSz w:w="11906" w:h="16838"/>
      <w:pgMar w:top="851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BA5" w:rsidRDefault="00F24BA5" w:rsidP="00EC134C">
      <w:r>
        <w:separator/>
      </w:r>
    </w:p>
  </w:endnote>
  <w:endnote w:type="continuationSeparator" w:id="0">
    <w:p w:rsidR="00F24BA5" w:rsidRDefault="00F24BA5" w:rsidP="00EC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19Co00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2363"/>
      <w:docPartObj>
        <w:docPartGallery w:val="Page Numbers (Bottom of Page)"/>
        <w:docPartUnique/>
      </w:docPartObj>
    </w:sdtPr>
    <w:sdtContent>
      <w:p w:rsidR="00F24BA5" w:rsidRDefault="00F57AB6">
        <w:pPr>
          <w:pStyle w:val="ad"/>
          <w:jc w:val="right"/>
        </w:pPr>
        <w:fldSimple w:instr=" PAGE   \* MERGEFORMAT ">
          <w:r w:rsidR="00937B98">
            <w:rPr>
              <w:noProof/>
            </w:rPr>
            <w:t>2</w:t>
          </w:r>
        </w:fldSimple>
      </w:p>
    </w:sdtContent>
  </w:sdt>
  <w:p w:rsidR="00F24BA5" w:rsidRDefault="00F24BA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BA5" w:rsidRDefault="00F24BA5" w:rsidP="00EC134C">
      <w:r>
        <w:separator/>
      </w:r>
    </w:p>
  </w:footnote>
  <w:footnote w:type="continuationSeparator" w:id="0">
    <w:p w:rsidR="00F24BA5" w:rsidRDefault="00F24BA5" w:rsidP="00EC1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8B4"/>
    <w:multiLevelType w:val="hybridMultilevel"/>
    <w:tmpl w:val="F5BC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72603"/>
    <w:multiLevelType w:val="hybridMultilevel"/>
    <w:tmpl w:val="99F83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B72BC"/>
    <w:multiLevelType w:val="multilevel"/>
    <w:tmpl w:val="C5422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AE03094"/>
    <w:multiLevelType w:val="hybridMultilevel"/>
    <w:tmpl w:val="D898EB4A"/>
    <w:lvl w:ilvl="0" w:tplc="2FF8A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66F51"/>
    <w:multiLevelType w:val="hybridMultilevel"/>
    <w:tmpl w:val="D898EB4A"/>
    <w:lvl w:ilvl="0" w:tplc="2FF8A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34C"/>
    <w:rsid w:val="00000324"/>
    <w:rsid w:val="00000C1D"/>
    <w:rsid w:val="00003E62"/>
    <w:rsid w:val="00014506"/>
    <w:rsid w:val="000220F8"/>
    <w:rsid w:val="00022EC6"/>
    <w:rsid w:val="000273AF"/>
    <w:rsid w:val="00080449"/>
    <w:rsid w:val="000804FC"/>
    <w:rsid w:val="000A4225"/>
    <w:rsid w:val="000A4C5C"/>
    <w:rsid w:val="000C281B"/>
    <w:rsid w:val="00101C3A"/>
    <w:rsid w:val="00111B51"/>
    <w:rsid w:val="00131BF6"/>
    <w:rsid w:val="0013553F"/>
    <w:rsid w:val="00145938"/>
    <w:rsid w:val="001525F2"/>
    <w:rsid w:val="001536BD"/>
    <w:rsid w:val="001868D3"/>
    <w:rsid w:val="0018756B"/>
    <w:rsid w:val="001A2018"/>
    <w:rsid w:val="001A2318"/>
    <w:rsid w:val="001B09B3"/>
    <w:rsid w:val="001E57DC"/>
    <w:rsid w:val="00204DCA"/>
    <w:rsid w:val="00223833"/>
    <w:rsid w:val="00233ECF"/>
    <w:rsid w:val="00273317"/>
    <w:rsid w:val="00275C97"/>
    <w:rsid w:val="00286B7A"/>
    <w:rsid w:val="002B0A4E"/>
    <w:rsid w:val="002D7C83"/>
    <w:rsid w:val="002E645D"/>
    <w:rsid w:val="002E7127"/>
    <w:rsid w:val="002F3D8B"/>
    <w:rsid w:val="00321ACB"/>
    <w:rsid w:val="00351094"/>
    <w:rsid w:val="0035296B"/>
    <w:rsid w:val="0035455E"/>
    <w:rsid w:val="00360349"/>
    <w:rsid w:val="0036069F"/>
    <w:rsid w:val="0036503C"/>
    <w:rsid w:val="00374D4D"/>
    <w:rsid w:val="003A23E7"/>
    <w:rsid w:val="003A7C19"/>
    <w:rsid w:val="003B137E"/>
    <w:rsid w:val="003B782F"/>
    <w:rsid w:val="003D4E6F"/>
    <w:rsid w:val="003E4D4C"/>
    <w:rsid w:val="003E7A0D"/>
    <w:rsid w:val="003F3C65"/>
    <w:rsid w:val="004018C1"/>
    <w:rsid w:val="00427DC4"/>
    <w:rsid w:val="00434316"/>
    <w:rsid w:val="0044782C"/>
    <w:rsid w:val="0045098F"/>
    <w:rsid w:val="004634D0"/>
    <w:rsid w:val="00464387"/>
    <w:rsid w:val="00466BAD"/>
    <w:rsid w:val="0046775A"/>
    <w:rsid w:val="004710A1"/>
    <w:rsid w:val="00492C36"/>
    <w:rsid w:val="004A4912"/>
    <w:rsid w:val="004B52A5"/>
    <w:rsid w:val="004C15CE"/>
    <w:rsid w:val="004F45DC"/>
    <w:rsid w:val="00507AEB"/>
    <w:rsid w:val="00517388"/>
    <w:rsid w:val="0051747C"/>
    <w:rsid w:val="00526996"/>
    <w:rsid w:val="00532819"/>
    <w:rsid w:val="00567E71"/>
    <w:rsid w:val="00577F1E"/>
    <w:rsid w:val="005906E1"/>
    <w:rsid w:val="00590ED9"/>
    <w:rsid w:val="005A3BA6"/>
    <w:rsid w:val="005A57A6"/>
    <w:rsid w:val="005B0667"/>
    <w:rsid w:val="005B67E4"/>
    <w:rsid w:val="005C69EC"/>
    <w:rsid w:val="005C76E9"/>
    <w:rsid w:val="005D4311"/>
    <w:rsid w:val="005E0706"/>
    <w:rsid w:val="005E126C"/>
    <w:rsid w:val="005E1808"/>
    <w:rsid w:val="005E205C"/>
    <w:rsid w:val="005E2E1D"/>
    <w:rsid w:val="00601356"/>
    <w:rsid w:val="006016F8"/>
    <w:rsid w:val="00601BFF"/>
    <w:rsid w:val="00640656"/>
    <w:rsid w:val="0064491F"/>
    <w:rsid w:val="00650214"/>
    <w:rsid w:val="006532AF"/>
    <w:rsid w:val="006601F1"/>
    <w:rsid w:val="00684E8B"/>
    <w:rsid w:val="00687B87"/>
    <w:rsid w:val="0069501F"/>
    <w:rsid w:val="006A2E35"/>
    <w:rsid w:val="006A71A3"/>
    <w:rsid w:val="006C1AD1"/>
    <w:rsid w:val="006C7193"/>
    <w:rsid w:val="006E0C75"/>
    <w:rsid w:val="00710C68"/>
    <w:rsid w:val="00740E0D"/>
    <w:rsid w:val="00741475"/>
    <w:rsid w:val="007455BA"/>
    <w:rsid w:val="00766EFA"/>
    <w:rsid w:val="00772B25"/>
    <w:rsid w:val="00776458"/>
    <w:rsid w:val="0077795B"/>
    <w:rsid w:val="007B0966"/>
    <w:rsid w:val="007B1209"/>
    <w:rsid w:val="007C07DD"/>
    <w:rsid w:val="007C3DEB"/>
    <w:rsid w:val="007C6368"/>
    <w:rsid w:val="007C6DD1"/>
    <w:rsid w:val="007D2CAE"/>
    <w:rsid w:val="00802814"/>
    <w:rsid w:val="008059E2"/>
    <w:rsid w:val="00835093"/>
    <w:rsid w:val="008516A0"/>
    <w:rsid w:val="00854535"/>
    <w:rsid w:val="008561C1"/>
    <w:rsid w:val="00857018"/>
    <w:rsid w:val="0085746B"/>
    <w:rsid w:val="008668E1"/>
    <w:rsid w:val="00882AD4"/>
    <w:rsid w:val="008929A7"/>
    <w:rsid w:val="008956B5"/>
    <w:rsid w:val="008A0E8D"/>
    <w:rsid w:val="008B5077"/>
    <w:rsid w:val="008B79E7"/>
    <w:rsid w:val="008C626E"/>
    <w:rsid w:val="00911077"/>
    <w:rsid w:val="00926143"/>
    <w:rsid w:val="009332E8"/>
    <w:rsid w:val="00937B98"/>
    <w:rsid w:val="00951057"/>
    <w:rsid w:val="009A4CD0"/>
    <w:rsid w:val="009C3231"/>
    <w:rsid w:val="009D0B2B"/>
    <w:rsid w:val="009E6159"/>
    <w:rsid w:val="00A02FB5"/>
    <w:rsid w:val="00A6147B"/>
    <w:rsid w:val="00A70717"/>
    <w:rsid w:val="00A850FC"/>
    <w:rsid w:val="00A950A4"/>
    <w:rsid w:val="00AA0C95"/>
    <w:rsid w:val="00AA21A6"/>
    <w:rsid w:val="00AB3B78"/>
    <w:rsid w:val="00AE780A"/>
    <w:rsid w:val="00B11628"/>
    <w:rsid w:val="00B14613"/>
    <w:rsid w:val="00B255E8"/>
    <w:rsid w:val="00B534A8"/>
    <w:rsid w:val="00B5532A"/>
    <w:rsid w:val="00B55603"/>
    <w:rsid w:val="00B61891"/>
    <w:rsid w:val="00B629BB"/>
    <w:rsid w:val="00B82EB6"/>
    <w:rsid w:val="00BA7562"/>
    <w:rsid w:val="00BB3A40"/>
    <w:rsid w:val="00BB4C44"/>
    <w:rsid w:val="00BC7EFB"/>
    <w:rsid w:val="00BD68AC"/>
    <w:rsid w:val="00C14909"/>
    <w:rsid w:val="00C366BD"/>
    <w:rsid w:val="00C44960"/>
    <w:rsid w:val="00C627A7"/>
    <w:rsid w:val="00C77C2B"/>
    <w:rsid w:val="00C82D6E"/>
    <w:rsid w:val="00C915B8"/>
    <w:rsid w:val="00C95FC3"/>
    <w:rsid w:val="00CA7C86"/>
    <w:rsid w:val="00CB248B"/>
    <w:rsid w:val="00CC5665"/>
    <w:rsid w:val="00CE1059"/>
    <w:rsid w:val="00CE3A9B"/>
    <w:rsid w:val="00D26BEB"/>
    <w:rsid w:val="00D33837"/>
    <w:rsid w:val="00D363FB"/>
    <w:rsid w:val="00D61F91"/>
    <w:rsid w:val="00D748B2"/>
    <w:rsid w:val="00D77B8F"/>
    <w:rsid w:val="00D9216C"/>
    <w:rsid w:val="00DA3345"/>
    <w:rsid w:val="00DB09AF"/>
    <w:rsid w:val="00DB0DA6"/>
    <w:rsid w:val="00DC690F"/>
    <w:rsid w:val="00DD32FC"/>
    <w:rsid w:val="00DD38AC"/>
    <w:rsid w:val="00DE001B"/>
    <w:rsid w:val="00DE2666"/>
    <w:rsid w:val="00DE3E13"/>
    <w:rsid w:val="00DF0DF3"/>
    <w:rsid w:val="00DF665B"/>
    <w:rsid w:val="00E1248C"/>
    <w:rsid w:val="00E201DB"/>
    <w:rsid w:val="00E22927"/>
    <w:rsid w:val="00E259F6"/>
    <w:rsid w:val="00E32950"/>
    <w:rsid w:val="00E34BC1"/>
    <w:rsid w:val="00E3583E"/>
    <w:rsid w:val="00E6568B"/>
    <w:rsid w:val="00E80395"/>
    <w:rsid w:val="00E86D15"/>
    <w:rsid w:val="00E9053B"/>
    <w:rsid w:val="00EA5D2D"/>
    <w:rsid w:val="00EC0968"/>
    <w:rsid w:val="00EC134C"/>
    <w:rsid w:val="00EE2196"/>
    <w:rsid w:val="00EE655D"/>
    <w:rsid w:val="00F07DF8"/>
    <w:rsid w:val="00F133B3"/>
    <w:rsid w:val="00F24BA5"/>
    <w:rsid w:val="00F467AA"/>
    <w:rsid w:val="00F57368"/>
    <w:rsid w:val="00F57AB6"/>
    <w:rsid w:val="00F72859"/>
    <w:rsid w:val="00F74AC3"/>
    <w:rsid w:val="00F80610"/>
    <w:rsid w:val="00F845FC"/>
    <w:rsid w:val="00F856EE"/>
    <w:rsid w:val="00F86E8A"/>
    <w:rsid w:val="00F92D9A"/>
    <w:rsid w:val="00FA7419"/>
    <w:rsid w:val="00FB572B"/>
    <w:rsid w:val="00FB7513"/>
    <w:rsid w:val="00FF0EB2"/>
    <w:rsid w:val="00F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 w:hanging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4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134C"/>
    <w:pPr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EC134C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EC134C"/>
    <w:pPr>
      <w:jc w:val="both"/>
    </w:pPr>
  </w:style>
  <w:style w:type="character" w:customStyle="1" w:styleId="30">
    <w:name w:val="Основной текст 3 Знак"/>
    <w:basedOn w:val="a0"/>
    <w:link w:val="3"/>
    <w:rsid w:val="00EC1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EC134C"/>
  </w:style>
  <w:style w:type="character" w:customStyle="1" w:styleId="a6">
    <w:name w:val="Текст сноски Знак"/>
    <w:basedOn w:val="a0"/>
    <w:link w:val="a5"/>
    <w:semiHidden/>
    <w:rsid w:val="00EC1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C134C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134C"/>
    <w:pPr>
      <w:ind w:left="720"/>
      <w:contextualSpacing/>
    </w:pPr>
    <w:rPr>
      <w:sz w:val="24"/>
      <w:szCs w:val="24"/>
    </w:rPr>
  </w:style>
  <w:style w:type="character" w:styleId="a8">
    <w:name w:val="footnote reference"/>
    <w:uiPriority w:val="99"/>
    <w:semiHidden/>
    <w:unhideWhenUsed/>
    <w:rsid w:val="00EC134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C13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3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C76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7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C76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76E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3A7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43431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21308-9B98-4F6E-B57C-7716F0B8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mololkee</dc:creator>
  <cp:lastModifiedBy>mololkee</cp:lastModifiedBy>
  <cp:revision>6</cp:revision>
  <cp:lastPrinted>2019-11-12T06:41:00Z</cp:lastPrinted>
  <dcterms:created xsi:type="dcterms:W3CDTF">2019-11-12T14:59:00Z</dcterms:created>
  <dcterms:modified xsi:type="dcterms:W3CDTF">2019-11-13T08:54:00Z</dcterms:modified>
</cp:coreProperties>
</file>