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4C" w:rsidRPr="00BE2A66" w:rsidRDefault="00BE2A66" w:rsidP="00EC134C">
      <w:pPr>
        <w:autoSpaceDE w:val="0"/>
        <w:autoSpaceDN w:val="0"/>
        <w:adjustRightInd w:val="0"/>
        <w:jc w:val="center"/>
        <w:rPr>
          <w:sz w:val="22"/>
          <w:szCs w:val="22"/>
        </w:rPr>
      </w:pPr>
      <w:r>
        <w:rPr>
          <w:sz w:val="22"/>
          <w:szCs w:val="22"/>
        </w:rPr>
        <w:t xml:space="preserve">                                                                                 </w:t>
      </w:r>
      <w:r w:rsidRPr="00BE2A66">
        <w:rPr>
          <w:sz w:val="22"/>
          <w:szCs w:val="22"/>
        </w:rPr>
        <w:t xml:space="preserve">Приложение №5 к Приказу №44/1 </w:t>
      </w:r>
    </w:p>
    <w:p w:rsidR="00BE2A66" w:rsidRPr="00BE2A66" w:rsidRDefault="00BE2A66" w:rsidP="00EC134C">
      <w:pPr>
        <w:autoSpaceDE w:val="0"/>
        <w:autoSpaceDN w:val="0"/>
        <w:adjustRightInd w:val="0"/>
        <w:jc w:val="center"/>
        <w:rPr>
          <w:sz w:val="22"/>
          <w:szCs w:val="22"/>
        </w:rPr>
      </w:pPr>
      <w:r>
        <w:rPr>
          <w:sz w:val="22"/>
          <w:szCs w:val="22"/>
        </w:rPr>
        <w:t xml:space="preserve">                                                                                                   </w:t>
      </w:r>
      <w:r w:rsidRPr="00BE2A66">
        <w:rPr>
          <w:sz w:val="22"/>
          <w:szCs w:val="22"/>
        </w:rPr>
        <w:t>от 04.05.2018 г. (действует с 17.05.2018 г.)</w:t>
      </w:r>
    </w:p>
    <w:p w:rsidR="00BE2A66" w:rsidRDefault="00BE2A66" w:rsidP="00EC134C">
      <w:pPr>
        <w:autoSpaceDE w:val="0"/>
        <w:autoSpaceDN w:val="0"/>
        <w:adjustRightInd w:val="0"/>
        <w:jc w:val="center"/>
        <w:rPr>
          <w:b/>
          <w:sz w:val="22"/>
          <w:szCs w:val="22"/>
        </w:rPr>
      </w:pPr>
    </w:p>
    <w:p w:rsidR="00BE2A66" w:rsidRDefault="00BE2A66" w:rsidP="00EC134C">
      <w:pPr>
        <w:autoSpaceDE w:val="0"/>
        <w:autoSpaceDN w:val="0"/>
        <w:adjustRightInd w:val="0"/>
        <w:jc w:val="center"/>
        <w:rPr>
          <w:b/>
          <w:sz w:val="22"/>
          <w:szCs w:val="22"/>
        </w:rPr>
      </w:pPr>
    </w:p>
    <w:p w:rsidR="00EC134C" w:rsidRPr="00BE2A66" w:rsidRDefault="00EC134C" w:rsidP="00EC134C">
      <w:pPr>
        <w:shd w:val="clear" w:color="auto" w:fill="FFFFFF"/>
        <w:jc w:val="center"/>
        <w:rPr>
          <w:sz w:val="22"/>
          <w:szCs w:val="22"/>
        </w:rPr>
      </w:pPr>
      <w:r>
        <w:rPr>
          <w:noProof/>
          <w:sz w:val="22"/>
          <w:szCs w:val="22"/>
        </w:rPr>
        <w:drawing>
          <wp:inline distT="0" distB="0" distL="0" distR="0">
            <wp:extent cx="1939925" cy="1081405"/>
            <wp:effectExtent l="19050" t="0" r="317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srcRect/>
                    <a:stretch>
                      <a:fillRect/>
                    </a:stretch>
                  </pic:blipFill>
                  <pic:spPr bwMode="auto">
                    <a:xfrm>
                      <a:off x="0" y="0"/>
                      <a:ext cx="1939925" cy="1081405"/>
                    </a:xfrm>
                    <a:prstGeom prst="rect">
                      <a:avLst/>
                    </a:prstGeom>
                    <a:noFill/>
                    <a:ln w="9525">
                      <a:noFill/>
                      <a:miter lim="800000"/>
                      <a:headEnd/>
                      <a:tailEnd/>
                    </a:ln>
                  </pic:spPr>
                </pic:pic>
              </a:graphicData>
            </a:graphic>
          </wp:inline>
        </w:drawing>
      </w:r>
    </w:p>
    <w:p w:rsidR="00EC134C" w:rsidRPr="00EC6D1D" w:rsidRDefault="00EC134C" w:rsidP="00EC134C">
      <w:pPr>
        <w:shd w:val="clear" w:color="auto" w:fill="FFFFFF"/>
        <w:jc w:val="center"/>
        <w:rPr>
          <w:b/>
          <w:sz w:val="30"/>
          <w:szCs w:val="30"/>
        </w:rPr>
      </w:pPr>
    </w:p>
    <w:p w:rsidR="00EC134C" w:rsidRPr="00EC6D1D" w:rsidRDefault="00EC134C" w:rsidP="00EC134C">
      <w:pPr>
        <w:shd w:val="clear" w:color="auto" w:fill="FFFFFF"/>
        <w:jc w:val="center"/>
        <w:rPr>
          <w:b/>
          <w:sz w:val="30"/>
          <w:szCs w:val="30"/>
        </w:rPr>
      </w:pPr>
    </w:p>
    <w:p w:rsidR="00EC134C" w:rsidRDefault="00EC134C" w:rsidP="00EC134C">
      <w:pPr>
        <w:rPr>
          <w:b/>
        </w:rPr>
      </w:pPr>
      <w:r>
        <w:rPr>
          <w:b/>
        </w:rPr>
        <w:t xml:space="preserve">                                                                                                                                        </w:t>
      </w:r>
    </w:p>
    <w:p w:rsidR="00EC134C" w:rsidRDefault="00EC134C" w:rsidP="00EC134C">
      <w:pPr>
        <w:rPr>
          <w:b/>
        </w:rPr>
      </w:pPr>
    </w:p>
    <w:p w:rsidR="00EC134C" w:rsidRDefault="00EC134C" w:rsidP="00EC134C">
      <w:pPr>
        <w:rPr>
          <w:b/>
        </w:rPr>
      </w:pPr>
    </w:p>
    <w:p w:rsidR="00EC134C" w:rsidRDefault="00EC134C" w:rsidP="00EC134C">
      <w:pPr>
        <w:rPr>
          <w:b/>
        </w:rPr>
      </w:pPr>
      <w:r>
        <w:rPr>
          <w:b/>
        </w:rPr>
        <w:t xml:space="preserve">                                                                                                                                        УТВЕРЖДАЮ</w:t>
      </w:r>
    </w:p>
    <w:p w:rsidR="00EC134C" w:rsidRDefault="00EC134C" w:rsidP="00EC134C">
      <w:pPr>
        <w:rPr>
          <w:b/>
        </w:rPr>
      </w:pPr>
      <w:r>
        <w:rPr>
          <w:b/>
        </w:rPr>
        <w:t xml:space="preserve">                                                                                                                                        Председатель Правления</w:t>
      </w:r>
    </w:p>
    <w:p w:rsidR="00EC134C" w:rsidRDefault="00EC134C" w:rsidP="00EC134C">
      <w:pPr>
        <w:rPr>
          <w:b/>
        </w:rPr>
      </w:pPr>
      <w:r>
        <w:rPr>
          <w:b/>
        </w:rPr>
        <w:t xml:space="preserve">                                                                                                                                        КБ «</w:t>
      </w:r>
      <w:proofErr w:type="spellStart"/>
      <w:r>
        <w:rPr>
          <w:b/>
        </w:rPr>
        <w:t>Гарант-Инвест</w:t>
      </w:r>
      <w:proofErr w:type="spellEnd"/>
      <w:r>
        <w:rPr>
          <w:b/>
        </w:rPr>
        <w:t>» (АО)</w:t>
      </w:r>
    </w:p>
    <w:p w:rsidR="00EC134C" w:rsidRPr="0071466C" w:rsidRDefault="00EC134C" w:rsidP="00EC134C">
      <w:pPr>
        <w:rPr>
          <w:b/>
        </w:rPr>
      </w:pPr>
      <w:r>
        <w:rPr>
          <w:b/>
        </w:rPr>
        <w:t xml:space="preserve">                                                                        </w:t>
      </w:r>
      <w:r w:rsidRPr="0071466C">
        <w:rPr>
          <w:b/>
        </w:rPr>
        <w:t xml:space="preserve">                            </w:t>
      </w:r>
      <w:r>
        <w:rPr>
          <w:b/>
        </w:rPr>
        <w:t xml:space="preserve">                                    _________________ И.Л. Касьянов</w:t>
      </w:r>
    </w:p>
    <w:p w:rsidR="00EC134C" w:rsidRPr="00B51E3D" w:rsidRDefault="00EC134C" w:rsidP="00EC134C">
      <w:pPr>
        <w:shd w:val="clear" w:color="auto" w:fill="FFFFFF"/>
        <w:jc w:val="center"/>
        <w:rPr>
          <w:b/>
        </w:rPr>
      </w:pPr>
      <w:r>
        <w:rPr>
          <w:b/>
          <w:sz w:val="30"/>
          <w:szCs w:val="30"/>
        </w:rPr>
        <w:t xml:space="preserve">                                                                      </w:t>
      </w:r>
      <w:r w:rsidRPr="00B51E3D">
        <w:rPr>
          <w:b/>
        </w:rPr>
        <w:t>«__» ________201</w:t>
      </w:r>
      <w:r w:rsidR="00FD780F">
        <w:rPr>
          <w:b/>
        </w:rPr>
        <w:t>8</w:t>
      </w:r>
      <w:r w:rsidRPr="00B51E3D">
        <w:rPr>
          <w:b/>
        </w:rPr>
        <w:t xml:space="preserve"> г.</w:t>
      </w:r>
    </w:p>
    <w:p w:rsidR="00EC134C" w:rsidRDefault="00EC134C" w:rsidP="00EC134C">
      <w:pPr>
        <w:autoSpaceDE w:val="0"/>
        <w:autoSpaceDN w:val="0"/>
        <w:adjustRightInd w:val="0"/>
        <w:jc w:val="center"/>
        <w:rPr>
          <w:b/>
          <w:sz w:val="22"/>
          <w:szCs w:val="22"/>
        </w:rPr>
      </w:pPr>
    </w:p>
    <w:p w:rsidR="00EC134C" w:rsidRDefault="00EC134C" w:rsidP="00EC134C">
      <w:pPr>
        <w:autoSpaceDE w:val="0"/>
        <w:autoSpaceDN w:val="0"/>
        <w:adjustRightInd w:val="0"/>
        <w:jc w:val="center"/>
        <w:rPr>
          <w:b/>
          <w:sz w:val="22"/>
          <w:szCs w:val="22"/>
        </w:rPr>
      </w:pPr>
    </w:p>
    <w:p w:rsidR="00EC134C" w:rsidRDefault="00EC134C" w:rsidP="00EC134C">
      <w:pPr>
        <w:autoSpaceDE w:val="0"/>
        <w:autoSpaceDN w:val="0"/>
        <w:adjustRightInd w:val="0"/>
        <w:jc w:val="center"/>
        <w:rPr>
          <w:b/>
          <w:sz w:val="22"/>
          <w:szCs w:val="22"/>
        </w:rPr>
      </w:pPr>
    </w:p>
    <w:p w:rsidR="00EC134C" w:rsidRDefault="00EC134C" w:rsidP="00EC134C">
      <w:pPr>
        <w:autoSpaceDE w:val="0"/>
        <w:autoSpaceDN w:val="0"/>
        <w:adjustRightInd w:val="0"/>
        <w:jc w:val="center"/>
        <w:rPr>
          <w:b/>
          <w:sz w:val="22"/>
          <w:szCs w:val="22"/>
        </w:rPr>
      </w:pPr>
    </w:p>
    <w:p w:rsidR="00D83768" w:rsidRDefault="00D83768" w:rsidP="00EC134C">
      <w:pPr>
        <w:autoSpaceDE w:val="0"/>
        <w:autoSpaceDN w:val="0"/>
        <w:adjustRightInd w:val="0"/>
        <w:jc w:val="center"/>
        <w:rPr>
          <w:b/>
          <w:sz w:val="22"/>
          <w:szCs w:val="22"/>
        </w:rPr>
      </w:pPr>
    </w:p>
    <w:p w:rsidR="00D83768" w:rsidRDefault="00D83768" w:rsidP="00EC134C">
      <w:pPr>
        <w:autoSpaceDE w:val="0"/>
        <w:autoSpaceDN w:val="0"/>
        <w:adjustRightInd w:val="0"/>
        <w:jc w:val="center"/>
        <w:rPr>
          <w:b/>
          <w:sz w:val="22"/>
          <w:szCs w:val="22"/>
        </w:rPr>
      </w:pPr>
    </w:p>
    <w:p w:rsidR="00D83768" w:rsidRDefault="00D83768" w:rsidP="00EC134C">
      <w:pPr>
        <w:autoSpaceDE w:val="0"/>
        <w:autoSpaceDN w:val="0"/>
        <w:adjustRightInd w:val="0"/>
        <w:jc w:val="center"/>
        <w:rPr>
          <w:b/>
          <w:sz w:val="22"/>
          <w:szCs w:val="22"/>
        </w:rPr>
      </w:pPr>
    </w:p>
    <w:p w:rsidR="00D83768" w:rsidRDefault="00D83768" w:rsidP="00EC134C">
      <w:pPr>
        <w:autoSpaceDE w:val="0"/>
        <w:autoSpaceDN w:val="0"/>
        <w:adjustRightInd w:val="0"/>
        <w:jc w:val="center"/>
        <w:rPr>
          <w:b/>
          <w:sz w:val="22"/>
          <w:szCs w:val="22"/>
        </w:rPr>
      </w:pPr>
    </w:p>
    <w:p w:rsidR="00EC134C" w:rsidRDefault="00EC134C" w:rsidP="00EC134C">
      <w:pPr>
        <w:autoSpaceDE w:val="0"/>
        <w:autoSpaceDN w:val="0"/>
        <w:adjustRightInd w:val="0"/>
        <w:jc w:val="center"/>
        <w:rPr>
          <w:b/>
          <w:sz w:val="22"/>
          <w:szCs w:val="22"/>
        </w:rPr>
      </w:pPr>
    </w:p>
    <w:p w:rsidR="00EC134C" w:rsidRPr="00EC134C" w:rsidRDefault="00EC134C" w:rsidP="00EC134C">
      <w:pPr>
        <w:autoSpaceDE w:val="0"/>
        <w:autoSpaceDN w:val="0"/>
        <w:adjustRightInd w:val="0"/>
        <w:jc w:val="center"/>
        <w:rPr>
          <w:b/>
          <w:sz w:val="48"/>
          <w:szCs w:val="48"/>
        </w:rPr>
      </w:pPr>
    </w:p>
    <w:p w:rsidR="00D83768" w:rsidRPr="00D83768" w:rsidRDefault="00D83768" w:rsidP="00D83768">
      <w:pPr>
        <w:pStyle w:val="a7"/>
        <w:jc w:val="center"/>
        <w:rPr>
          <w:b/>
          <w:sz w:val="40"/>
          <w:szCs w:val="40"/>
        </w:rPr>
      </w:pPr>
      <w:r w:rsidRPr="00D83768">
        <w:rPr>
          <w:b/>
          <w:sz w:val="40"/>
          <w:szCs w:val="40"/>
        </w:rPr>
        <w:t xml:space="preserve">МЕТОДИКА РАСПРЕДЕЛЕНИЯ ИМУЩЕСТВА МЕЖДУ УЧРЕДИТЕЛЯМИ УПРАВЛЕНИЯ </w:t>
      </w:r>
    </w:p>
    <w:p w:rsidR="00D83768" w:rsidRPr="00D83768" w:rsidRDefault="00D83768" w:rsidP="00D83768">
      <w:pPr>
        <w:pStyle w:val="a7"/>
        <w:jc w:val="center"/>
        <w:rPr>
          <w:b/>
          <w:sz w:val="40"/>
          <w:szCs w:val="40"/>
        </w:rPr>
      </w:pPr>
      <w:r w:rsidRPr="00D83768">
        <w:rPr>
          <w:b/>
          <w:sz w:val="40"/>
          <w:szCs w:val="40"/>
        </w:rPr>
        <w:t>(ПРИ ОБЪЕДИНЕНИИ ИМУЩЕСТВА РАЗНЫХ УЧРЕДИТЕЛЕЙ УПРАВЛЕНИЯ)</w:t>
      </w: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Default="00EC134C" w:rsidP="00EC134C">
      <w:pPr>
        <w:jc w:val="center"/>
        <w:rPr>
          <w:b/>
          <w:sz w:val="22"/>
          <w:szCs w:val="22"/>
        </w:rPr>
      </w:pPr>
    </w:p>
    <w:p w:rsidR="00EC134C" w:rsidRPr="00EC134C" w:rsidRDefault="00EC134C" w:rsidP="00EC134C">
      <w:pPr>
        <w:shd w:val="clear" w:color="auto" w:fill="FFFFFF"/>
        <w:ind w:right="29"/>
        <w:jc w:val="center"/>
        <w:rPr>
          <w:bCs/>
          <w:spacing w:val="-11"/>
          <w:sz w:val="32"/>
          <w:szCs w:val="32"/>
        </w:rPr>
      </w:pPr>
      <w:r w:rsidRPr="00EC134C">
        <w:rPr>
          <w:bCs/>
          <w:spacing w:val="-11"/>
          <w:sz w:val="32"/>
          <w:szCs w:val="32"/>
        </w:rPr>
        <w:t>Москва</w:t>
      </w:r>
    </w:p>
    <w:p w:rsidR="00EC134C" w:rsidRPr="00EC134C" w:rsidRDefault="00EC134C" w:rsidP="00EC134C">
      <w:pPr>
        <w:shd w:val="clear" w:color="auto" w:fill="FFFFFF"/>
        <w:ind w:right="29"/>
        <w:jc w:val="center"/>
        <w:rPr>
          <w:bCs/>
          <w:spacing w:val="-11"/>
          <w:sz w:val="32"/>
          <w:szCs w:val="32"/>
        </w:rPr>
      </w:pPr>
    </w:p>
    <w:p w:rsidR="00EC134C" w:rsidRPr="00EC134C" w:rsidRDefault="00EC134C" w:rsidP="00EC134C">
      <w:pPr>
        <w:shd w:val="clear" w:color="auto" w:fill="FFFFFF"/>
        <w:ind w:right="29"/>
        <w:jc w:val="center"/>
        <w:rPr>
          <w:sz w:val="32"/>
          <w:szCs w:val="32"/>
        </w:rPr>
      </w:pPr>
      <w:r w:rsidRPr="00EC134C">
        <w:rPr>
          <w:bCs/>
          <w:spacing w:val="-11"/>
          <w:sz w:val="32"/>
          <w:szCs w:val="32"/>
        </w:rPr>
        <w:t>2018</w:t>
      </w:r>
    </w:p>
    <w:p w:rsidR="00D83768" w:rsidRPr="000A36B9" w:rsidRDefault="00D83768" w:rsidP="001D7950">
      <w:pPr>
        <w:pStyle w:val="a7"/>
        <w:ind w:left="0" w:firstLine="709"/>
        <w:jc w:val="both"/>
        <w:rPr>
          <w:color w:val="000000"/>
        </w:rPr>
      </w:pPr>
      <w:r w:rsidRPr="000A36B9">
        <w:lastRenderedPageBreak/>
        <w:t xml:space="preserve">1. </w:t>
      </w:r>
      <w:r w:rsidRPr="000A36B9">
        <w:rPr>
          <w:color w:val="000000"/>
        </w:rPr>
        <w:t xml:space="preserve">При объединении активов разных Учредителей управления для совершения сделок за счет активов данных Учредителей </w:t>
      </w:r>
      <w:proofErr w:type="gramStart"/>
      <w:r w:rsidRPr="000A36B9">
        <w:rPr>
          <w:color w:val="000000"/>
        </w:rPr>
        <w:t>управления</w:t>
      </w:r>
      <w:proofErr w:type="gramEnd"/>
      <w:r w:rsidRPr="000A36B9">
        <w:rPr>
          <w:color w:val="000000"/>
        </w:rPr>
        <w:t xml:space="preserve"> полученные в результате сделок активы распределяются </w:t>
      </w:r>
      <w:r w:rsidR="001D7950" w:rsidRPr="000A36B9">
        <w:rPr>
          <w:color w:val="000000"/>
        </w:rPr>
        <w:t>КБ «</w:t>
      </w:r>
      <w:proofErr w:type="spellStart"/>
      <w:r w:rsidR="001D7950" w:rsidRPr="000A36B9">
        <w:rPr>
          <w:color w:val="000000"/>
        </w:rPr>
        <w:t>Гарант-Инвест</w:t>
      </w:r>
      <w:proofErr w:type="spellEnd"/>
      <w:r w:rsidR="001D7950" w:rsidRPr="000A36B9">
        <w:rPr>
          <w:color w:val="000000"/>
        </w:rPr>
        <w:t xml:space="preserve">» (АО) (далее - Доверительный управляющий) </w:t>
      </w:r>
      <w:r w:rsidRPr="000A36B9">
        <w:rPr>
          <w:color w:val="000000"/>
        </w:rPr>
        <w:t xml:space="preserve">между Учредителями управления в соответствии с настоящей Методикой. </w:t>
      </w:r>
    </w:p>
    <w:p w:rsidR="000A36B9" w:rsidRPr="000A36B9" w:rsidRDefault="000A36B9" w:rsidP="001D7950">
      <w:pPr>
        <w:pStyle w:val="a7"/>
        <w:ind w:left="0" w:firstLine="709"/>
        <w:jc w:val="both"/>
        <w:rPr>
          <w:color w:val="000000"/>
        </w:rPr>
      </w:pPr>
    </w:p>
    <w:p w:rsidR="00D83768" w:rsidRPr="00BE2A66" w:rsidRDefault="00D83768" w:rsidP="001D7950">
      <w:pPr>
        <w:pStyle w:val="a7"/>
        <w:ind w:left="0" w:firstLine="709"/>
        <w:jc w:val="both"/>
      </w:pPr>
      <w:r w:rsidRPr="000A36B9">
        <w:t>2. Для ведения учета переданного имущества и полученных в результате сделок ценных бумаг и денежных средств Доверительный управляющий открывает каждому Учредителю управления в рамках Договора доверительного управления и на период его действия отдельный счет</w:t>
      </w:r>
      <w:r w:rsidR="001D7950" w:rsidRPr="000A36B9">
        <w:t>/счета</w:t>
      </w:r>
      <w:r w:rsidRPr="000A36B9">
        <w:t xml:space="preserve"> во внутреннем учете Доверительного управляющего. </w:t>
      </w:r>
    </w:p>
    <w:p w:rsidR="000A36B9" w:rsidRPr="00BE2A66" w:rsidRDefault="000A36B9" w:rsidP="001D7950">
      <w:pPr>
        <w:pStyle w:val="a7"/>
        <w:ind w:left="0" w:firstLine="709"/>
        <w:jc w:val="both"/>
      </w:pPr>
    </w:p>
    <w:p w:rsidR="00D83768" w:rsidRPr="00BE2A66" w:rsidRDefault="00D83768" w:rsidP="001D7950">
      <w:pPr>
        <w:pStyle w:val="a7"/>
        <w:ind w:left="0" w:firstLine="709"/>
        <w:jc w:val="both"/>
      </w:pPr>
      <w:r w:rsidRPr="000A36B9">
        <w:t>3. Управление ценными бумагами и денежными средствами нескольких клиентов по единым правилам и принципам формирования состава и структуры активов, находящихся в дов</w:t>
      </w:r>
      <w:r w:rsidR="001D7950" w:rsidRPr="000A36B9">
        <w:t>ерительном управлении (далее - С</w:t>
      </w:r>
      <w:r w:rsidRPr="000A36B9">
        <w:t>тандартные стратегии управления), может осуществляться только при условии, что для указанных клиентов определен единый и</w:t>
      </w:r>
      <w:r w:rsidR="001D7950" w:rsidRPr="000A36B9">
        <w:t>нвестиционный профиль (далее - С</w:t>
      </w:r>
      <w:r w:rsidRPr="000A36B9">
        <w:t>тандартный инвестиционный профиль). Стандартный инвестиционный профиль определяется в соответствии с внутренним</w:t>
      </w:r>
      <w:r w:rsidR="001D7950" w:rsidRPr="000A36B9">
        <w:t>и</w:t>
      </w:r>
      <w:r w:rsidRPr="000A36B9">
        <w:t xml:space="preserve"> </w:t>
      </w:r>
      <w:r w:rsidR="001D7950" w:rsidRPr="000A36B9">
        <w:t>документами Доверительного управляющего, исходя из существа С</w:t>
      </w:r>
      <w:r w:rsidRPr="000A36B9">
        <w:t>тандартной стратегии управления, без представления клиентами информации для его определения. При эт</w:t>
      </w:r>
      <w:r w:rsidR="001D7950" w:rsidRPr="000A36B9">
        <w:t>ом инвестиционный горизонт для С</w:t>
      </w:r>
      <w:r w:rsidRPr="000A36B9">
        <w:t xml:space="preserve">тандартного инвестиционного профиля составляет один год, если иное не предусмотрено </w:t>
      </w:r>
      <w:r w:rsidR="001D7950" w:rsidRPr="000A36B9">
        <w:t>С</w:t>
      </w:r>
      <w:r w:rsidRPr="000A36B9">
        <w:t xml:space="preserve">тандартной стратегией управления. </w:t>
      </w:r>
    </w:p>
    <w:p w:rsidR="000A36B9" w:rsidRPr="00BE2A66" w:rsidRDefault="000A36B9" w:rsidP="001D7950">
      <w:pPr>
        <w:pStyle w:val="a7"/>
        <w:ind w:left="0" w:firstLine="709"/>
        <w:jc w:val="both"/>
      </w:pPr>
    </w:p>
    <w:p w:rsidR="00D83768" w:rsidRPr="00BE2A66" w:rsidRDefault="00D83768" w:rsidP="001D7950">
      <w:pPr>
        <w:pStyle w:val="a7"/>
        <w:ind w:left="0" w:firstLine="709"/>
        <w:jc w:val="both"/>
      </w:pPr>
      <w:r w:rsidRPr="000A36B9">
        <w:t xml:space="preserve">4. В случае совершения сделки за счет нескольких Учредителей управления, Доверительный управляющий определяет основные условия сделки в целом для такого количества Учредителей управления, определяет контрагента по сделке и заключает сделку (в зависимости от обстоятельств: на бирже через брокера, либо на внебиржевых торгах через брокера, или самостоятельно). </w:t>
      </w:r>
    </w:p>
    <w:p w:rsidR="000A36B9" w:rsidRPr="00BE2A66" w:rsidRDefault="000A36B9" w:rsidP="001D7950">
      <w:pPr>
        <w:pStyle w:val="a7"/>
        <w:ind w:left="0" w:firstLine="709"/>
        <w:jc w:val="both"/>
      </w:pPr>
    </w:p>
    <w:p w:rsidR="00D83768" w:rsidRPr="00BE2A66" w:rsidRDefault="00D83768" w:rsidP="001D7950">
      <w:pPr>
        <w:pStyle w:val="a7"/>
        <w:ind w:left="0" w:firstLine="709"/>
        <w:jc w:val="both"/>
      </w:pPr>
      <w:r w:rsidRPr="000A36B9">
        <w:t xml:space="preserve">5. </w:t>
      </w:r>
      <w:proofErr w:type="gramStart"/>
      <w:r w:rsidRPr="000A36B9">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0A36B9">
        <w:t xml:space="preserve"> заявки. </w:t>
      </w:r>
    </w:p>
    <w:p w:rsidR="000A36B9" w:rsidRPr="00BE2A66" w:rsidRDefault="000A36B9" w:rsidP="001D7950">
      <w:pPr>
        <w:pStyle w:val="a7"/>
        <w:ind w:left="0" w:firstLine="709"/>
        <w:jc w:val="both"/>
      </w:pPr>
    </w:p>
    <w:p w:rsidR="00D83768" w:rsidRPr="00BE2A66" w:rsidRDefault="00D83768" w:rsidP="001D7950">
      <w:pPr>
        <w:pStyle w:val="a7"/>
        <w:ind w:left="0" w:firstLine="709"/>
        <w:jc w:val="both"/>
      </w:pPr>
      <w:r w:rsidRPr="000A36B9">
        <w:t xml:space="preserve">6. </w:t>
      </w:r>
      <w:proofErr w:type="gramStart"/>
      <w:r w:rsidRPr="000A36B9">
        <w:t xml:space="preserve">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 </w:t>
      </w:r>
      <w:proofErr w:type="gramEnd"/>
    </w:p>
    <w:p w:rsidR="000A36B9" w:rsidRPr="00BE2A66" w:rsidRDefault="000A36B9" w:rsidP="001D7950">
      <w:pPr>
        <w:pStyle w:val="a7"/>
        <w:ind w:left="0" w:firstLine="709"/>
        <w:jc w:val="both"/>
      </w:pPr>
    </w:p>
    <w:p w:rsidR="00D83768" w:rsidRPr="00BE2A66" w:rsidRDefault="00D83768" w:rsidP="001D7950">
      <w:pPr>
        <w:pStyle w:val="a7"/>
        <w:ind w:left="0" w:firstLine="709"/>
        <w:jc w:val="both"/>
      </w:pPr>
      <w:r w:rsidRPr="000A36B9">
        <w:t xml:space="preserve">7. 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 </w:t>
      </w:r>
    </w:p>
    <w:p w:rsidR="000A36B9" w:rsidRPr="00BE2A66" w:rsidRDefault="000A36B9" w:rsidP="001D7950">
      <w:pPr>
        <w:pStyle w:val="a7"/>
        <w:ind w:left="0" w:firstLine="709"/>
        <w:jc w:val="both"/>
      </w:pPr>
    </w:p>
    <w:p w:rsidR="00D83768" w:rsidRPr="00BE2A66" w:rsidRDefault="00D83768" w:rsidP="001D7950">
      <w:pPr>
        <w:pStyle w:val="a7"/>
        <w:ind w:left="0" w:firstLine="709"/>
        <w:jc w:val="both"/>
      </w:pPr>
      <w:r w:rsidRPr="000A36B9">
        <w:t xml:space="preserve">8. 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 </w:t>
      </w:r>
    </w:p>
    <w:p w:rsidR="000A36B9" w:rsidRPr="00BE2A66" w:rsidRDefault="000A36B9" w:rsidP="001D7950">
      <w:pPr>
        <w:pStyle w:val="a7"/>
        <w:ind w:left="0" w:firstLine="709"/>
        <w:jc w:val="both"/>
      </w:pPr>
    </w:p>
    <w:p w:rsidR="00D83768" w:rsidRPr="00BE2A66" w:rsidRDefault="00D83768" w:rsidP="001D7950">
      <w:pPr>
        <w:pStyle w:val="a7"/>
        <w:ind w:left="0" w:firstLine="709"/>
        <w:jc w:val="both"/>
      </w:pPr>
      <w:r w:rsidRPr="000A36B9">
        <w:t xml:space="preserve">9. После заключения сделки Доверительный управляющий осуществляет распределение денежных средств или ценных бумаг, поступивших в результате совершения сделки, по </w:t>
      </w:r>
      <w:r w:rsidRPr="000A36B9">
        <w:lastRenderedPageBreak/>
        <w:t xml:space="preserve">инвестиционным портфелям Учредителей управления, исходя из принципа поддержания соответствия состава и структуры инвестиционных портфелей Учредителей управления составу и структуре инвестиционной стратегии. При осуществлении распределения денежных средств или ценных бумаг по счетам внутреннего учета не допускается списание со счета Учредителей управления количества ценных бумаг (денежных средств), не соответствующих количеству денежных средств (ценных бумаг), подлежащему зачислению на счет Учредителей управления в результате сделки и определенному исходя из цены общей сделки. </w:t>
      </w:r>
    </w:p>
    <w:p w:rsidR="000A36B9" w:rsidRPr="00BE2A66" w:rsidRDefault="000A36B9" w:rsidP="001D7950">
      <w:pPr>
        <w:pStyle w:val="a7"/>
        <w:ind w:left="0" w:firstLine="709"/>
        <w:jc w:val="both"/>
      </w:pPr>
    </w:p>
    <w:p w:rsidR="00D83768" w:rsidRPr="00BE2A66" w:rsidRDefault="00D83768" w:rsidP="001D7950">
      <w:pPr>
        <w:pStyle w:val="a7"/>
        <w:ind w:left="0" w:firstLine="709"/>
        <w:jc w:val="both"/>
      </w:pPr>
      <w:r w:rsidRPr="000A36B9">
        <w:t xml:space="preserve">10. По итогам распределения денежных средств и ценных бумаг по инвестиционным портфелям Учредителей управления в результате сделки, совершенной за счет имущества нескольких Учредителей управления, в регистрах сделок Доверительного управляющего отражаются отдельные сделки по счетам внутреннего учета в отношении каждого Учредителя управления. </w:t>
      </w:r>
    </w:p>
    <w:p w:rsidR="000A36B9" w:rsidRPr="00BE2A66" w:rsidRDefault="000A36B9" w:rsidP="001D7950">
      <w:pPr>
        <w:pStyle w:val="a7"/>
        <w:ind w:left="0" w:firstLine="709"/>
        <w:jc w:val="both"/>
      </w:pPr>
    </w:p>
    <w:p w:rsidR="00826E4B" w:rsidRPr="000A36B9" w:rsidRDefault="00826E4B" w:rsidP="001D7950">
      <w:pPr>
        <w:pStyle w:val="a7"/>
        <w:ind w:left="0" w:firstLine="709"/>
        <w:jc w:val="both"/>
      </w:pPr>
      <w:r w:rsidRPr="000A36B9">
        <w:t>11. Настоящая Методика, а также изменения и дополнения к ней подлежат раскрытию на официальном сайте КБ «</w:t>
      </w:r>
      <w:proofErr w:type="spellStart"/>
      <w:r w:rsidRPr="000A36B9">
        <w:t>Гарант-Инвест</w:t>
      </w:r>
      <w:proofErr w:type="spellEnd"/>
      <w:r w:rsidRPr="000A36B9">
        <w:t>» (АО) в сети Интернет не позднее 10 (Десяти) календарных дней до дня их вступления в силу.</w:t>
      </w:r>
    </w:p>
    <w:p w:rsidR="00D83768" w:rsidRPr="00C37B7D" w:rsidRDefault="00D83768" w:rsidP="00D83768">
      <w:pPr>
        <w:pStyle w:val="a7"/>
        <w:ind w:left="0" w:firstLine="709"/>
        <w:jc w:val="both"/>
        <w:rPr>
          <w:sz w:val="22"/>
          <w:szCs w:val="22"/>
        </w:rPr>
      </w:pPr>
    </w:p>
    <w:p w:rsidR="00507AEB" w:rsidRDefault="00507AEB" w:rsidP="00D83768">
      <w:pPr>
        <w:pStyle w:val="ab"/>
        <w:jc w:val="both"/>
      </w:pPr>
    </w:p>
    <w:sectPr w:rsidR="00507AEB" w:rsidSect="000A36B9">
      <w:footerReference w:type="default" r:id="rId9"/>
      <w:pgSz w:w="11906" w:h="16838"/>
      <w:pgMar w:top="851"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50" w:rsidRDefault="001D7950" w:rsidP="00EC134C">
      <w:r>
        <w:separator/>
      </w:r>
    </w:p>
  </w:endnote>
  <w:endnote w:type="continuationSeparator" w:id="0">
    <w:p w:rsidR="001D7950" w:rsidRDefault="001D7950" w:rsidP="00EC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477"/>
      <w:docPartObj>
        <w:docPartGallery w:val="Page Numbers (Bottom of Page)"/>
        <w:docPartUnique/>
      </w:docPartObj>
    </w:sdtPr>
    <w:sdtContent>
      <w:p w:rsidR="000A36B9" w:rsidRDefault="00A02834">
        <w:pPr>
          <w:pStyle w:val="ab"/>
          <w:jc w:val="right"/>
        </w:pPr>
        <w:fldSimple w:instr=" PAGE   \* MERGEFORMAT ">
          <w:r w:rsidR="00BE2A66">
            <w:rPr>
              <w:noProof/>
            </w:rPr>
            <w:t>2</w:t>
          </w:r>
        </w:fldSimple>
      </w:p>
    </w:sdtContent>
  </w:sdt>
  <w:p w:rsidR="000A36B9" w:rsidRDefault="000A36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50" w:rsidRDefault="001D7950" w:rsidP="00EC134C">
      <w:r>
        <w:separator/>
      </w:r>
    </w:p>
  </w:footnote>
  <w:footnote w:type="continuationSeparator" w:id="0">
    <w:p w:rsidR="001D7950" w:rsidRDefault="001D7950" w:rsidP="00EC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1DC1"/>
    <w:multiLevelType w:val="hybridMultilevel"/>
    <w:tmpl w:val="412801D2"/>
    <w:lvl w:ilvl="0" w:tplc="36E694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66F51"/>
    <w:multiLevelType w:val="hybridMultilevel"/>
    <w:tmpl w:val="D898EB4A"/>
    <w:lvl w:ilvl="0" w:tplc="2FF8A2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C134C"/>
    <w:rsid w:val="000A36B9"/>
    <w:rsid w:val="001D7950"/>
    <w:rsid w:val="00507AEB"/>
    <w:rsid w:val="005B2F7C"/>
    <w:rsid w:val="00826E4B"/>
    <w:rsid w:val="00A02834"/>
    <w:rsid w:val="00A04DB8"/>
    <w:rsid w:val="00B1743D"/>
    <w:rsid w:val="00B768D4"/>
    <w:rsid w:val="00B82EB6"/>
    <w:rsid w:val="00BE2A66"/>
    <w:rsid w:val="00CA029B"/>
    <w:rsid w:val="00D83768"/>
    <w:rsid w:val="00EC134C"/>
    <w:rsid w:val="00F416A1"/>
    <w:rsid w:val="00FD7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 w:hanging="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4C"/>
    <w:pPr>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C134C"/>
    <w:pPr>
      <w:jc w:val="both"/>
    </w:pPr>
    <w:rPr>
      <w:sz w:val="22"/>
    </w:rPr>
  </w:style>
  <w:style w:type="character" w:customStyle="1" w:styleId="a4">
    <w:name w:val="Основной текст с отступом Знак"/>
    <w:basedOn w:val="a0"/>
    <w:link w:val="a3"/>
    <w:rsid w:val="00EC134C"/>
    <w:rPr>
      <w:rFonts w:ascii="Times New Roman" w:eastAsia="Times New Roman" w:hAnsi="Times New Roman" w:cs="Times New Roman"/>
      <w:szCs w:val="20"/>
      <w:lang w:eastAsia="ru-RU"/>
    </w:rPr>
  </w:style>
  <w:style w:type="paragraph" w:styleId="3">
    <w:name w:val="Body Text 3"/>
    <w:basedOn w:val="a"/>
    <w:link w:val="30"/>
    <w:rsid w:val="00EC134C"/>
    <w:pPr>
      <w:jc w:val="both"/>
    </w:pPr>
  </w:style>
  <w:style w:type="character" w:customStyle="1" w:styleId="30">
    <w:name w:val="Основной текст 3 Знак"/>
    <w:basedOn w:val="a0"/>
    <w:link w:val="3"/>
    <w:rsid w:val="00EC134C"/>
    <w:rPr>
      <w:rFonts w:ascii="Times New Roman" w:eastAsia="Times New Roman" w:hAnsi="Times New Roman" w:cs="Times New Roman"/>
      <w:sz w:val="20"/>
      <w:szCs w:val="20"/>
      <w:lang w:eastAsia="ru-RU"/>
    </w:rPr>
  </w:style>
  <w:style w:type="paragraph" w:styleId="a5">
    <w:name w:val="footnote text"/>
    <w:basedOn w:val="a"/>
    <w:link w:val="a6"/>
    <w:semiHidden/>
    <w:rsid w:val="00EC134C"/>
  </w:style>
  <w:style w:type="character" w:customStyle="1" w:styleId="a6">
    <w:name w:val="Текст сноски Знак"/>
    <w:basedOn w:val="a0"/>
    <w:link w:val="a5"/>
    <w:semiHidden/>
    <w:rsid w:val="00EC134C"/>
    <w:rPr>
      <w:rFonts w:ascii="Times New Roman" w:eastAsia="Times New Roman" w:hAnsi="Times New Roman" w:cs="Times New Roman"/>
      <w:sz w:val="20"/>
      <w:szCs w:val="20"/>
      <w:lang w:eastAsia="ru-RU"/>
    </w:rPr>
  </w:style>
  <w:style w:type="paragraph" w:customStyle="1" w:styleId="Default">
    <w:name w:val="Default"/>
    <w:rsid w:val="00EC134C"/>
    <w:pPr>
      <w:autoSpaceDE w:val="0"/>
      <w:autoSpaceDN w:val="0"/>
      <w:adjustRightInd w:val="0"/>
      <w:ind w:left="0" w:firstLine="0"/>
      <w:jc w:val="left"/>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EC134C"/>
    <w:pPr>
      <w:ind w:left="720"/>
      <w:contextualSpacing/>
    </w:pPr>
    <w:rPr>
      <w:sz w:val="24"/>
      <w:szCs w:val="24"/>
    </w:rPr>
  </w:style>
  <w:style w:type="character" w:styleId="a8">
    <w:name w:val="footnote reference"/>
    <w:uiPriority w:val="99"/>
    <w:semiHidden/>
    <w:unhideWhenUsed/>
    <w:rsid w:val="00EC134C"/>
    <w:rPr>
      <w:vertAlign w:val="superscript"/>
    </w:rPr>
  </w:style>
  <w:style w:type="paragraph" w:styleId="a9">
    <w:name w:val="Balloon Text"/>
    <w:basedOn w:val="a"/>
    <w:link w:val="aa"/>
    <w:uiPriority w:val="99"/>
    <w:semiHidden/>
    <w:unhideWhenUsed/>
    <w:rsid w:val="00EC134C"/>
    <w:rPr>
      <w:rFonts w:ascii="Tahoma" w:hAnsi="Tahoma" w:cs="Tahoma"/>
      <w:sz w:val="16"/>
      <w:szCs w:val="16"/>
    </w:rPr>
  </w:style>
  <w:style w:type="character" w:customStyle="1" w:styleId="aa">
    <w:name w:val="Текст выноски Знак"/>
    <w:basedOn w:val="a0"/>
    <w:link w:val="a9"/>
    <w:uiPriority w:val="99"/>
    <w:semiHidden/>
    <w:rsid w:val="00EC134C"/>
    <w:rPr>
      <w:rFonts w:ascii="Tahoma" w:eastAsia="Times New Roman" w:hAnsi="Tahoma" w:cs="Tahoma"/>
      <w:sz w:val="16"/>
      <w:szCs w:val="16"/>
      <w:lang w:eastAsia="ru-RU"/>
    </w:rPr>
  </w:style>
  <w:style w:type="paragraph" w:styleId="ab">
    <w:name w:val="footer"/>
    <w:basedOn w:val="a"/>
    <w:link w:val="ac"/>
    <w:uiPriority w:val="99"/>
    <w:rsid w:val="00B768D4"/>
    <w:pPr>
      <w:tabs>
        <w:tab w:val="center" w:pos="4153"/>
        <w:tab w:val="right" w:pos="8306"/>
      </w:tabs>
    </w:pPr>
  </w:style>
  <w:style w:type="character" w:customStyle="1" w:styleId="ac">
    <w:name w:val="Нижний колонтитул Знак"/>
    <w:basedOn w:val="a0"/>
    <w:link w:val="ab"/>
    <w:uiPriority w:val="99"/>
    <w:rsid w:val="00B768D4"/>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0A36B9"/>
    <w:pPr>
      <w:tabs>
        <w:tab w:val="center" w:pos="4677"/>
        <w:tab w:val="right" w:pos="9355"/>
      </w:tabs>
    </w:pPr>
  </w:style>
  <w:style w:type="character" w:customStyle="1" w:styleId="ae">
    <w:name w:val="Верхний колонтитул Знак"/>
    <w:basedOn w:val="a0"/>
    <w:link w:val="ad"/>
    <w:uiPriority w:val="99"/>
    <w:semiHidden/>
    <w:rsid w:val="000A36B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1D19B-4B4E-4030-876D-2096F066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mololkee</dc:creator>
  <cp:lastModifiedBy>mololkee</cp:lastModifiedBy>
  <cp:revision>6</cp:revision>
  <cp:lastPrinted>2018-02-01T12:08:00Z</cp:lastPrinted>
  <dcterms:created xsi:type="dcterms:W3CDTF">2018-01-30T12:04:00Z</dcterms:created>
  <dcterms:modified xsi:type="dcterms:W3CDTF">2018-05-25T14:41:00Z</dcterms:modified>
</cp:coreProperties>
</file>