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CC" w:rsidRPr="00B73301" w:rsidRDefault="008E363F" w:rsidP="008E363F">
      <w:pPr>
        <w:pStyle w:val="1"/>
        <w:rPr>
          <w:rFonts w:ascii="Times New Roman" w:eastAsia="Calibri" w:hAnsi="Times New Roman" w:cs="Times New Roman"/>
          <w:sz w:val="28"/>
          <w:szCs w:val="28"/>
        </w:rPr>
      </w:pPr>
      <w:r w:rsidRPr="00B73301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4F1F6C">
        <w:rPr>
          <w:rFonts w:ascii="Times New Roman" w:eastAsia="Calibri" w:hAnsi="Times New Roman" w:cs="Times New Roman"/>
          <w:sz w:val="28"/>
          <w:szCs w:val="28"/>
        </w:rPr>
        <w:t>граждан -</w:t>
      </w:r>
      <w:r w:rsidR="00AC7098" w:rsidRPr="00B73301">
        <w:rPr>
          <w:rFonts w:ascii="Times New Roman" w:eastAsia="Calibri" w:hAnsi="Times New Roman" w:cs="Times New Roman"/>
          <w:sz w:val="28"/>
          <w:szCs w:val="28"/>
        </w:rPr>
        <w:t xml:space="preserve"> держателей банковских карт, </w:t>
      </w:r>
    </w:p>
    <w:p w:rsidR="008E363F" w:rsidRDefault="008E363F" w:rsidP="008E363F">
      <w:pPr>
        <w:pStyle w:val="1"/>
        <w:rPr>
          <w:rFonts w:ascii="Times New Roman" w:hAnsi="Times New Roman" w:cs="Times New Roman"/>
          <w:sz w:val="28"/>
          <w:szCs w:val="28"/>
        </w:rPr>
      </w:pPr>
      <w:r w:rsidRPr="00B73301">
        <w:rPr>
          <w:rFonts w:ascii="Times New Roman" w:hAnsi="Times New Roman" w:cs="Times New Roman"/>
          <w:sz w:val="28"/>
          <w:szCs w:val="28"/>
        </w:rPr>
        <w:t xml:space="preserve">выезжающих за </w:t>
      </w:r>
      <w:r w:rsidR="00610042" w:rsidRPr="00B73301">
        <w:rPr>
          <w:rFonts w:ascii="Times New Roman" w:hAnsi="Times New Roman" w:cs="Times New Roman"/>
          <w:sz w:val="28"/>
          <w:szCs w:val="28"/>
        </w:rPr>
        <w:t>пределы постоянного места жительства</w:t>
      </w:r>
    </w:p>
    <w:p w:rsidR="00272EB2" w:rsidRPr="00272EB2" w:rsidRDefault="00272EB2" w:rsidP="00272EB2"/>
    <w:p w:rsidR="008E363F" w:rsidRPr="002D5E57" w:rsidRDefault="00610042" w:rsidP="00272EB2">
      <w:pPr>
        <w:ind w:firstLine="708"/>
        <w:jc w:val="both"/>
      </w:pPr>
      <w:r>
        <w:t>Международный страховой полис страховой компании</w:t>
      </w:r>
      <w:r w:rsidR="00E4570F">
        <w:t xml:space="preserve"> </w:t>
      </w:r>
      <w:r w:rsidR="00417827" w:rsidRPr="002D5E57">
        <w:t>ПА</w:t>
      </w:r>
      <w:r w:rsidR="00CE0121" w:rsidRPr="002D5E57">
        <w:t>О СК «</w:t>
      </w:r>
      <w:r w:rsidR="00BE00B4" w:rsidRPr="002D5E57">
        <w:t>Росгосстрах</w:t>
      </w:r>
      <w:r w:rsidR="00CE0121" w:rsidRPr="002D5E57">
        <w:t>»</w:t>
      </w:r>
      <w:r w:rsidR="008E363F" w:rsidRPr="002D5E57">
        <w:t xml:space="preserve"> - это гарантия получения необходимой помощи во время пребывания за границей при несчастных случаях и болезни. Страхование выезжающих за рубеж - одно из условий в большинстве случаев, необходимых для получения визы во многих зарубежных консульствах.</w:t>
      </w:r>
    </w:p>
    <w:p w:rsidR="008E363F" w:rsidRPr="002D5E57" w:rsidRDefault="008E363F" w:rsidP="00272EB2">
      <w:pPr>
        <w:ind w:firstLine="708"/>
        <w:jc w:val="both"/>
      </w:pPr>
      <w:r w:rsidRPr="002D5E57">
        <w:t>Если Вы планируете провести отпуск за границей или Ваша работа связана с командировками за рубеж</w:t>
      </w:r>
      <w:r w:rsidR="00F53033" w:rsidRPr="002D5E57">
        <w:t xml:space="preserve"> или по России</w:t>
      </w:r>
      <w:r w:rsidRPr="002D5E57">
        <w:t xml:space="preserve">, Вы можете оформить </w:t>
      </w:r>
      <w:r w:rsidR="00384CF5" w:rsidRPr="002D5E57">
        <w:t xml:space="preserve">международный </w:t>
      </w:r>
      <w:r w:rsidRPr="002D5E57">
        <w:t xml:space="preserve">страховой полис страховой компании </w:t>
      </w:r>
      <w:r w:rsidR="00417827" w:rsidRPr="002D5E57">
        <w:t>ПА</w:t>
      </w:r>
      <w:r w:rsidR="00BE00B4" w:rsidRPr="002D5E57">
        <w:t>О СК «Росгосстрах»</w:t>
      </w:r>
      <w:r w:rsidRPr="002D5E57">
        <w:t>. Наличие такой страховки значительно облегчит Вам процесс решения непредвиденных проблем (медицинского характера, потеря багажа, задержка рейса, претензии третьих лиц, проч.)</w:t>
      </w:r>
      <w:r w:rsidR="00A47E80" w:rsidRPr="002D5E57">
        <w:t>, в том числе в чужой стране.</w:t>
      </w:r>
    </w:p>
    <w:p w:rsidR="008E363F" w:rsidRDefault="00384CF5" w:rsidP="00272EB2">
      <w:pPr>
        <w:ind w:firstLine="708"/>
        <w:jc w:val="both"/>
      </w:pPr>
      <w:r w:rsidRPr="002D5E57">
        <w:t xml:space="preserve">Международный страховой полис </w:t>
      </w:r>
      <w:r w:rsidR="00D46FC8" w:rsidRPr="002D5E57">
        <w:t>по программам страхования</w:t>
      </w:r>
      <w:r w:rsidR="008E363F" w:rsidRPr="002D5E57">
        <w:t xml:space="preserve"> </w:t>
      </w:r>
      <w:r w:rsidR="00CE0121" w:rsidRPr="002D5E57">
        <w:t>«</w:t>
      </w:r>
      <w:r w:rsidR="00BE00B4" w:rsidRPr="002D5E57">
        <w:t>Эконом» и «Комфорт»</w:t>
      </w:r>
      <w:r w:rsidR="00F53033" w:rsidRPr="002D5E57">
        <w:t xml:space="preserve"> </w:t>
      </w:r>
      <w:r w:rsidR="008B76FA" w:rsidRPr="002D5E57">
        <w:t>может быть оформлен к основной или д</w:t>
      </w:r>
      <w:r w:rsidR="008E363F" w:rsidRPr="002D5E57">
        <w:t xml:space="preserve">ополнительной карте </w:t>
      </w:r>
      <w:r w:rsidR="000B4368" w:rsidRPr="002D5E57">
        <w:t xml:space="preserve">платежных систем </w:t>
      </w:r>
      <w:r w:rsidR="00B245FC" w:rsidRPr="002D5E57">
        <w:rPr>
          <w:bCs/>
        </w:rPr>
        <w:t>V</w:t>
      </w:r>
      <w:r w:rsidR="00B245FC" w:rsidRPr="002D5E57">
        <w:rPr>
          <w:bCs/>
          <w:lang w:val="en-US"/>
        </w:rPr>
        <w:t>ISA</w:t>
      </w:r>
      <w:r w:rsidR="00F53033" w:rsidRPr="002D5E57">
        <w:rPr>
          <w:bCs/>
        </w:rPr>
        <w:t>,</w:t>
      </w:r>
      <w:r w:rsidR="008E363F" w:rsidRPr="002D5E57">
        <w:rPr>
          <w:bCs/>
        </w:rPr>
        <w:t xml:space="preserve"> MasterCard</w:t>
      </w:r>
      <w:r w:rsidR="008E363F" w:rsidRPr="002D5E57">
        <w:t xml:space="preserve"> </w:t>
      </w:r>
      <w:r w:rsidR="00F53033" w:rsidRPr="002D5E57">
        <w:t xml:space="preserve">и Мир </w:t>
      </w:r>
      <w:r w:rsidR="008E363F" w:rsidRPr="002D5E57">
        <w:t>на протяжении всего срока их действия по письменному заявлению клиента сроком на один</w:t>
      </w:r>
      <w:r w:rsidR="000B4368" w:rsidRPr="002D5E57">
        <w:t xml:space="preserve"> год</w:t>
      </w:r>
      <w:r w:rsidR="008E363F" w:rsidRPr="002D5E57">
        <w:t xml:space="preserve"> (но не более срока действия Основной или Дополнительной карты указанных </w:t>
      </w:r>
      <w:r w:rsidR="000B4368" w:rsidRPr="002D5E57">
        <w:t>платежных</w:t>
      </w:r>
      <w:r w:rsidR="000B4368">
        <w:t xml:space="preserve"> систем</w:t>
      </w:r>
      <w:r w:rsidR="008E363F" w:rsidRPr="001C5422">
        <w:t xml:space="preserve">).  </w:t>
      </w:r>
    </w:p>
    <w:p w:rsidR="004638BF" w:rsidRDefault="004638BF" w:rsidP="008E363F">
      <w:pPr>
        <w:jc w:val="both"/>
      </w:pPr>
    </w:p>
    <w:p w:rsidR="004638BF" w:rsidRPr="00B73301" w:rsidRDefault="004638BF" w:rsidP="00B73301">
      <w:pPr>
        <w:jc w:val="center"/>
        <w:rPr>
          <w:b/>
        </w:rPr>
      </w:pPr>
      <w:r w:rsidRPr="00B73301">
        <w:rPr>
          <w:b/>
        </w:rPr>
        <w:t>Общие особенности страховых программ</w:t>
      </w:r>
      <w:r w:rsidR="0080529B" w:rsidRPr="00B73301">
        <w:rPr>
          <w:b/>
        </w:rPr>
        <w:t xml:space="preserve"> «Эконом» и «Комфорт»</w:t>
      </w:r>
    </w:p>
    <w:p w:rsidR="004638BF" w:rsidRPr="004638BF" w:rsidRDefault="004638BF" w:rsidP="008E363F">
      <w:pPr>
        <w:jc w:val="both"/>
        <w:rPr>
          <w:b/>
          <w:u w:val="single"/>
        </w:rPr>
      </w:pP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Страховой полис действует на территории Весь мир, включая Россию (за пределами 100-км зоны от ПМЖ)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 xml:space="preserve">Количество поездок не ограничено, но общее пребывание в </w:t>
      </w:r>
      <w:r w:rsidRPr="004638BF">
        <w:t>каждой поездке – не более 90 дней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Возраст Застрахованного до 80 лет на дату окончания срока страхования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Страховой полис соответствует требованиям консульских отделов посольств иностранных государств при выдаче въездной визы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Франшиза по медици</w:t>
      </w:r>
      <w:r w:rsidRPr="004638BF">
        <w:t>нским/медико-транспортным расходам отсутствует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Программы покрывают занятия активными видами отдыха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Комплексность: включено 5 рисков страхования: Медицинская и экстр</w:t>
      </w:r>
      <w:r w:rsidR="003D1D72">
        <w:t>енная помощь, Отмена поездки, Несчастный случай, Гражданская ответственность</w:t>
      </w:r>
      <w:r w:rsidRPr="004638BF">
        <w:t>, Багаж</w:t>
      </w:r>
    </w:p>
    <w:p w:rsidR="00000000" w:rsidRPr="004638BF" w:rsidRDefault="005E7CDB" w:rsidP="00B73301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Телемедицинские консультации</w:t>
      </w:r>
    </w:p>
    <w:p w:rsidR="004638BF" w:rsidRDefault="005E7CDB" w:rsidP="008E363F">
      <w:pPr>
        <w:numPr>
          <w:ilvl w:val="0"/>
          <w:numId w:val="1"/>
        </w:numPr>
        <w:spacing w:line="276" w:lineRule="auto"/>
        <w:ind w:hanging="578"/>
        <w:jc w:val="both"/>
      </w:pPr>
      <w:r w:rsidRPr="004638BF">
        <w:t>Если к моменту окончания срока страхования или количества застрахованных дней возвращение Застрахованного с территории страхования невозможно в связи с наступившим по риск</w:t>
      </w:r>
      <w:r w:rsidRPr="004638BF">
        <w:t>у «Медицинская и экстренная помощь» страховым случаем, связанным со стационарным лечением, страхование по данному страховому случаю действует до тех пор, пока состояние здоровья Застрахованного, по заключению врача, не позволит произвести его возвращение к</w:t>
      </w:r>
      <w:r w:rsidRPr="004638BF">
        <w:t xml:space="preserve"> ПМЖ</w:t>
      </w:r>
    </w:p>
    <w:p w:rsidR="00CB511C" w:rsidRDefault="00CB511C" w:rsidP="00CB511C">
      <w:pPr>
        <w:spacing w:line="276" w:lineRule="auto"/>
        <w:ind w:left="720"/>
        <w:jc w:val="both"/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554"/>
      </w:tblGrid>
      <w:tr w:rsidR="00E8094B" w:rsidRPr="00307C32" w:rsidTr="00CB511C">
        <w:trPr>
          <w:trHeight w:val="270"/>
        </w:trPr>
        <w:tc>
          <w:tcPr>
            <w:tcW w:w="7513" w:type="dxa"/>
            <w:vMerge w:val="restar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243E9A" w:rsidRDefault="00243E9A" w:rsidP="00F06740">
            <w:pPr>
              <w:jc w:val="center"/>
              <w:rPr>
                <w:b/>
                <w:sz w:val="20"/>
                <w:szCs w:val="20"/>
              </w:rPr>
            </w:pPr>
          </w:p>
          <w:p w:rsidR="00F06740" w:rsidRPr="00307C32" w:rsidRDefault="00F06740" w:rsidP="00F06740">
            <w:pPr>
              <w:jc w:val="center"/>
              <w:rPr>
                <w:b/>
                <w:sz w:val="20"/>
                <w:szCs w:val="20"/>
              </w:rPr>
            </w:pPr>
            <w:r w:rsidRPr="00307C32">
              <w:rPr>
                <w:b/>
                <w:sz w:val="20"/>
                <w:szCs w:val="20"/>
              </w:rPr>
              <w:t>Наполнение программ страхования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F06740" w:rsidRPr="00307C32" w:rsidRDefault="00F06740" w:rsidP="00E809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32">
              <w:rPr>
                <w:b/>
                <w:bCs/>
                <w:sz w:val="20"/>
                <w:szCs w:val="20"/>
              </w:rPr>
              <w:t>«Эконом»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4638BF" w:rsidRPr="00307C32" w:rsidRDefault="00F06740" w:rsidP="00E8094B">
            <w:pPr>
              <w:jc w:val="center"/>
              <w:rPr>
                <w:b/>
                <w:sz w:val="20"/>
                <w:szCs w:val="20"/>
              </w:rPr>
            </w:pPr>
            <w:r w:rsidRPr="00307C32">
              <w:rPr>
                <w:b/>
                <w:sz w:val="20"/>
                <w:szCs w:val="20"/>
              </w:rPr>
              <w:t>«Комфорт»</w:t>
            </w:r>
          </w:p>
        </w:tc>
      </w:tr>
      <w:tr w:rsidR="00E8094B" w:rsidRPr="00307C32" w:rsidTr="00307C32">
        <w:trPr>
          <w:trHeight w:val="250"/>
        </w:trPr>
        <w:tc>
          <w:tcPr>
            <w:tcW w:w="7513" w:type="dxa"/>
            <w:vMerge/>
            <w:vAlign w:val="center"/>
            <w:hideMark/>
          </w:tcPr>
          <w:p w:rsidR="004638BF" w:rsidRPr="00307C32" w:rsidRDefault="004638BF" w:rsidP="00463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307C32" w:rsidRDefault="004638BF" w:rsidP="00E8094B">
            <w:pPr>
              <w:jc w:val="center"/>
              <w:rPr>
                <w:sz w:val="20"/>
                <w:szCs w:val="20"/>
              </w:rPr>
            </w:pPr>
            <w:r w:rsidRPr="00307C32">
              <w:rPr>
                <w:b/>
                <w:bCs/>
                <w:sz w:val="20"/>
                <w:szCs w:val="20"/>
              </w:rPr>
              <w:t>Лимиты ответственности</w:t>
            </w:r>
          </w:p>
        </w:tc>
      </w:tr>
      <w:tr w:rsidR="00E8094B" w:rsidRPr="0080529B" w:rsidTr="00307C32">
        <w:trPr>
          <w:trHeight w:val="541"/>
        </w:trPr>
        <w:tc>
          <w:tcPr>
            <w:tcW w:w="7513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Риск «Медицинская и экстренная помощь», страховая сумма на каждого Застрахованного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5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0 000</w:t>
            </w:r>
            <w:r w:rsidRPr="0080529B">
              <w:rPr>
                <w:b/>
                <w:bCs/>
                <w:sz w:val="20"/>
                <w:szCs w:val="20"/>
              </w:rPr>
              <w:t xml:space="preserve">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30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0 000</w:t>
            </w:r>
            <w:r w:rsidRPr="0080529B">
              <w:rPr>
                <w:b/>
                <w:bCs/>
                <w:sz w:val="20"/>
                <w:szCs w:val="20"/>
              </w:rPr>
              <w:t xml:space="preserve"> евро</w:t>
            </w:r>
          </w:p>
        </w:tc>
      </w:tr>
      <w:tr w:rsidR="00E8094B" w:rsidRPr="0080529B" w:rsidTr="00307C32">
        <w:trPr>
          <w:trHeight w:val="39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Медицинские расходы по амбулаторному лечению, проведение диагностических исследований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287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Телемедицинские услуги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243E9A">
        <w:trPr>
          <w:trHeight w:val="288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Оплата врачебных услуг, медикаментов, средств фиксации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243E9A">
        <w:trPr>
          <w:trHeight w:val="25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Медицинские расходы по пребыванию и лечению в стационаре, проведение операций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76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E8094B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 xml:space="preserve">Расходы на медицинскую эвакуацию к врачу или в медицинскую организацию на территории страхования, в </w:t>
            </w:r>
            <w:r w:rsidR="00E8094B">
              <w:rPr>
                <w:sz w:val="20"/>
                <w:szCs w:val="20"/>
              </w:rPr>
              <w:t>том числе</w:t>
            </w:r>
            <w:r w:rsidRPr="0080529B">
              <w:rPr>
                <w:sz w:val="20"/>
                <w:szCs w:val="20"/>
              </w:rPr>
              <w:t xml:space="preserve"> службой скорой помощи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76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lastRenderedPageBreak/>
              <w:t>Экстренная медицинская транспортировка из ино</w:t>
            </w:r>
            <w:r w:rsidR="00E8094B">
              <w:rPr>
                <w:sz w:val="20"/>
                <w:szCs w:val="20"/>
              </w:rPr>
              <w:t xml:space="preserve">странного государства в страну </w:t>
            </w:r>
            <w:r w:rsidR="00F52630">
              <w:rPr>
                <w:sz w:val="20"/>
                <w:szCs w:val="20"/>
              </w:rPr>
              <w:t>ПМЖ</w:t>
            </w:r>
            <w:r w:rsidRPr="0080529B">
              <w:rPr>
                <w:sz w:val="20"/>
                <w:szCs w:val="20"/>
              </w:rPr>
              <w:t xml:space="preserve"> или до медицинского учреждения, включая расходы на сопровождающее лицо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38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Расходы на организацию возвращения тела (останков) или урны с прахом в страну ПМЖ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322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Занятия активными видами отдыха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50 000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300 000 евро</w:t>
            </w:r>
          </w:p>
        </w:tc>
      </w:tr>
      <w:tr w:rsidR="00E8094B" w:rsidRPr="0080529B" w:rsidTr="00307C32">
        <w:trPr>
          <w:trHeight w:val="484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Экстренная стоматологическая помощь: лечение зуба при травме в результате НС/при остром воспалении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250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250 евро</w:t>
            </w:r>
          </w:p>
        </w:tc>
      </w:tr>
      <w:tr w:rsidR="00E8094B" w:rsidRPr="0080529B" w:rsidTr="00307C32">
        <w:trPr>
          <w:trHeight w:val="41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Обострении хронических заболеваний, не повлекших угрозу жизни и здоровью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5 000 евро</w:t>
            </w:r>
          </w:p>
        </w:tc>
      </w:tr>
      <w:tr w:rsidR="00E8094B" w:rsidRPr="0080529B" w:rsidTr="00307C32">
        <w:trPr>
          <w:trHeight w:val="553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Расходы на проезд Застрахованного до ПМЖ, если обратный билет не был использован по причине пребывания на стационарном лечении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</w:tr>
      <w:tr w:rsidR="00E8094B" w:rsidRPr="0080529B" w:rsidTr="00307C32">
        <w:trPr>
          <w:trHeight w:val="32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Расходы на телефонные звонки в Сервисную компанию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200 евро</w:t>
            </w:r>
          </w:p>
        </w:tc>
      </w:tr>
      <w:tr w:rsidR="00E8094B" w:rsidRPr="0080529B" w:rsidTr="00307C32">
        <w:trPr>
          <w:trHeight w:val="326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Возвращение несовершеннолетних детей в страну ПМЖ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</w:tr>
      <w:tr w:rsidR="00E8094B" w:rsidRPr="0080529B" w:rsidTr="00307C32">
        <w:trPr>
          <w:trHeight w:val="37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Визит близкого родственника к месту стационарного лечения Застрахованного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</w:tr>
      <w:tr w:rsidR="00E8094B" w:rsidRPr="0080529B" w:rsidTr="00307C32">
        <w:trPr>
          <w:trHeight w:val="358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Досрочное возвращение близких родственников Застрахованного из-за его лечения или смерти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</w:tr>
      <w:tr w:rsidR="00E8094B" w:rsidRPr="0080529B" w:rsidTr="00307C32">
        <w:trPr>
          <w:trHeight w:val="572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BF" w:rsidRPr="0080529B" w:rsidRDefault="004638BF" w:rsidP="004638BF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Проживание Застрахованного в гостинице с момента выписки его из стационара до отъезда к ПМЖ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4638BF" w:rsidRPr="0080529B" w:rsidRDefault="004638BF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3 000 евро</w:t>
            </w:r>
          </w:p>
        </w:tc>
      </w:tr>
      <w:tr w:rsidR="00A13BA1" w:rsidRPr="0080529B" w:rsidTr="00307C32">
        <w:trPr>
          <w:trHeight w:val="255"/>
        </w:trPr>
        <w:tc>
          <w:tcPr>
            <w:tcW w:w="7513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Риск «Отмена поездки», страховая сумма на каждого Застрахованного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5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80529B">
              <w:rPr>
                <w:b/>
                <w:bCs/>
                <w:sz w:val="20"/>
                <w:szCs w:val="20"/>
              </w:rPr>
              <w:t xml:space="preserve">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307C32">
        <w:trPr>
          <w:trHeight w:val="609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E8094B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 xml:space="preserve">Вынужденный отказ от поездки: смерть или внезапное заболевание Застрахованного или его близкого родственника, включая особо опасные инфекции (в </w:t>
            </w:r>
            <w:r w:rsidR="00E8094B">
              <w:rPr>
                <w:sz w:val="20"/>
                <w:szCs w:val="20"/>
              </w:rPr>
              <w:t>том числе</w:t>
            </w:r>
            <w:r w:rsidRPr="0080529B">
              <w:rPr>
                <w:sz w:val="20"/>
                <w:szCs w:val="20"/>
              </w:rPr>
              <w:t xml:space="preserve"> </w:t>
            </w:r>
            <w:r w:rsidRPr="0080529B">
              <w:rPr>
                <w:sz w:val="20"/>
                <w:szCs w:val="20"/>
                <w:lang w:val="en-US"/>
              </w:rPr>
              <w:t>Covid</w:t>
            </w:r>
            <w:r w:rsidRPr="0080529B">
              <w:rPr>
                <w:sz w:val="20"/>
                <w:szCs w:val="20"/>
              </w:rPr>
              <w:t>), травмы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307C32">
        <w:trPr>
          <w:trHeight w:val="254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Уничтожение жилого помещения, принадлежащего Застрахованному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307C32">
        <w:trPr>
          <w:trHeight w:val="259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Судебный акт о необходимости присутствия Застрахованного в суде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307C32">
        <w:trPr>
          <w:trHeight w:val="39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Призыв Застрахованного на срочную военную службу или на военные сборы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CB511C">
        <w:trPr>
          <w:trHeight w:val="198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Отказ или задержка выдачи визы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A13BA1" w:rsidRPr="0080529B" w:rsidTr="00307C32">
        <w:trPr>
          <w:trHeight w:val="33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Отмена рейса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</w:p>
        </w:tc>
      </w:tr>
      <w:tr w:rsidR="0023375D" w:rsidRPr="0080529B" w:rsidTr="00CB511C">
        <w:trPr>
          <w:trHeight w:val="434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Задержка рейса более чем на 4 часа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23375D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10 евро за каждый час,</w:t>
            </w:r>
            <w:r w:rsidR="0023375D">
              <w:rPr>
                <w:sz w:val="20"/>
                <w:szCs w:val="20"/>
              </w:rPr>
              <w:t xml:space="preserve"> </w:t>
            </w:r>
            <w:r w:rsidRPr="0080529B">
              <w:rPr>
                <w:sz w:val="20"/>
                <w:szCs w:val="20"/>
              </w:rPr>
              <w:t>но не более чем за 10 часов задержки</w:t>
            </w:r>
          </w:p>
        </w:tc>
      </w:tr>
      <w:tr w:rsidR="0023375D" w:rsidRPr="0080529B" w:rsidTr="00307C32">
        <w:trPr>
          <w:trHeight w:val="316"/>
        </w:trPr>
        <w:tc>
          <w:tcPr>
            <w:tcW w:w="7513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Риск «Багаж», страховая сумма на каждого Застрахованного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5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80529B">
              <w:rPr>
                <w:b/>
                <w:bCs/>
                <w:sz w:val="20"/>
                <w:szCs w:val="20"/>
              </w:rPr>
              <w:t xml:space="preserve"> евро</w:t>
            </w:r>
          </w:p>
        </w:tc>
      </w:tr>
      <w:tr w:rsidR="0023375D" w:rsidRPr="0080529B" w:rsidTr="00CB511C">
        <w:trPr>
          <w:trHeight w:val="319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 xml:space="preserve">Оплата расходов, связанных с полной утратой (гибелью) багажа 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500 евро</w:t>
            </w:r>
          </w:p>
        </w:tc>
      </w:tr>
      <w:tr w:rsidR="0023375D" w:rsidRPr="0080529B" w:rsidTr="00307C32">
        <w:trPr>
          <w:trHeight w:val="396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Оплата неотложных расходов на приобретение предметов первой необходимости из-за задержки багажа. Временная франшиза 4 часа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100 евро</w:t>
            </w:r>
          </w:p>
        </w:tc>
      </w:tr>
      <w:tr w:rsidR="008F2F4B" w:rsidRPr="0080529B" w:rsidTr="00CB511C">
        <w:trPr>
          <w:trHeight w:val="330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2F4B" w:rsidRPr="0080529B" w:rsidRDefault="008F2F4B" w:rsidP="008F2F4B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Риск «Несчастный случай», страховая сумма на каждого Застрахованного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2F4B" w:rsidRPr="0080529B" w:rsidRDefault="008F2F4B" w:rsidP="008F2F4B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5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0529B">
              <w:rPr>
                <w:b/>
                <w:bCs/>
                <w:sz w:val="20"/>
                <w:szCs w:val="20"/>
              </w:rPr>
              <w:t xml:space="preserve"> 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0529B">
              <w:rPr>
                <w:b/>
                <w:bCs/>
                <w:sz w:val="20"/>
                <w:szCs w:val="20"/>
              </w:rPr>
              <w:t>00 евро</w:t>
            </w:r>
          </w:p>
        </w:tc>
      </w:tr>
      <w:tr w:rsidR="008F2F4B" w:rsidRPr="0080529B" w:rsidTr="00CB511C">
        <w:trPr>
          <w:trHeight w:val="26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2F4B" w:rsidRPr="0080529B" w:rsidRDefault="008F2F4B" w:rsidP="008F2F4B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Смерть Застрахованного лица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8F2F4B" w:rsidRPr="0080529B" w:rsidRDefault="008F2F4B" w:rsidP="008F2F4B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25 000 евро</w:t>
            </w:r>
          </w:p>
        </w:tc>
      </w:tr>
      <w:tr w:rsidR="008F2F4B" w:rsidRPr="0080529B" w:rsidTr="00CB511C">
        <w:trPr>
          <w:trHeight w:val="383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2F4B" w:rsidRPr="0080529B" w:rsidRDefault="008F2F4B" w:rsidP="008F2F4B">
            <w:pPr>
              <w:jc w:val="both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 xml:space="preserve">Инвалидность </w:t>
            </w:r>
            <w:r w:rsidRPr="0080529B">
              <w:rPr>
                <w:sz w:val="20"/>
                <w:szCs w:val="20"/>
                <w:lang w:val="en-US"/>
              </w:rPr>
              <w:t>I</w:t>
            </w:r>
            <w:r w:rsidRPr="0080529B">
              <w:rPr>
                <w:sz w:val="20"/>
                <w:szCs w:val="20"/>
              </w:rPr>
              <w:t xml:space="preserve"> группы или категория «ребенок-инвалид»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8F2F4B" w:rsidRPr="0080529B" w:rsidRDefault="008F2F4B" w:rsidP="008F2F4B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25 000 евро</w:t>
            </w:r>
          </w:p>
        </w:tc>
      </w:tr>
      <w:tr w:rsidR="0023375D" w:rsidRPr="0080529B" w:rsidTr="00CB511C">
        <w:trPr>
          <w:trHeight w:val="402"/>
        </w:trPr>
        <w:tc>
          <w:tcPr>
            <w:tcW w:w="7513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Риск «Гражданская ответственность», страховая сумма на каждого Застрахованного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1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0529B">
              <w:rPr>
                <w:b/>
                <w:bCs/>
                <w:sz w:val="20"/>
                <w:szCs w:val="20"/>
              </w:rPr>
              <w:t xml:space="preserve"> </w:t>
            </w:r>
            <w:r w:rsidRPr="0080529B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0529B">
              <w:rPr>
                <w:b/>
                <w:bCs/>
                <w:sz w:val="20"/>
                <w:szCs w:val="20"/>
              </w:rPr>
              <w:t>00 евро</w:t>
            </w:r>
          </w:p>
        </w:tc>
      </w:tr>
      <w:tr w:rsidR="0023375D" w:rsidRPr="0080529B" w:rsidTr="00307C32">
        <w:trPr>
          <w:trHeight w:val="305"/>
        </w:trPr>
        <w:tc>
          <w:tcPr>
            <w:tcW w:w="75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7" w:rsidRPr="0080529B" w:rsidRDefault="00FF3037" w:rsidP="00FF3037">
            <w:pPr>
              <w:jc w:val="both"/>
              <w:rPr>
                <w:sz w:val="20"/>
                <w:szCs w:val="20"/>
              </w:rPr>
            </w:pPr>
            <w:r w:rsidRPr="0080529B">
              <w:rPr>
                <w:b/>
                <w:bCs/>
                <w:sz w:val="20"/>
                <w:szCs w:val="20"/>
              </w:rPr>
              <w:t>Страхование ГО застрахованного</w:t>
            </w:r>
          </w:p>
        </w:tc>
        <w:tc>
          <w:tcPr>
            <w:tcW w:w="2972" w:type="dxa"/>
            <w:gridSpan w:val="2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FF3037" w:rsidRPr="0080529B" w:rsidRDefault="00FF3037" w:rsidP="00F06740">
            <w:pPr>
              <w:jc w:val="center"/>
              <w:rPr>
                <w:sz w:val="20"/>
                <w:szCs w:val="20"/>
              </w:rPr>
            </w:pPr>
            <w:r w:rsidRPr="0080529B">
              <w:rPr>
                <w:sz w:val="20"/>
                <w:szCs w:val="20"/>
              </w:rPr>
              <w:t>10 000 евро</w:t>
            </w:r>
          </w:p>
        </w:tc>
      </w:tr>
    </w:tbl>
    <w:p w:rsidR="00CB511C" w:rsidRDefault="00CB511C" w:rsidP="00272EB2">
      <w:pPr>
        <w:ind w:firstLine="708"/>
        <w:jc w:val="both"/>
      </w:pPr>
    </w:p>
    <w:p w:rsidR="008E363F" w:rsidRPr="001C5422" w:rsidRDefault="00384CF5" w:rsidP="00272EB2">
      <w:pPr>
        <w:ind w:firstLine="708"/>
        <w:jc w:val="both"/>
      </w:pPr>
      <w:r>
        <w:t xml:space="preserve">Международный страховой полис </w:t>
      </w:r>
      <w:r w:rsidR="008E363F" w:rsidRPr="001C5422">
        <w:t>оформляется в день Вашего обращения в Банк.</w:t>
      </w:r>
    </w:p>
    <w:p w:rsidR="008E363F" w:rsidRPr="001C5422" w:rsidRDefault="008E363F" w:rsidP="00272EB2">
      <w:pPr>
        <w:ind w:firstLine="708"/>
        <w:jc w:val="both"/>
      </w:pPr>
      <w:r w:rsidRPr="001C5422">
        <w:t xml:space="preserve">Стоимость </w:t>
      </w:r>
      <w:r w:rsidR="00A13BA1">
        <w:t>страхового полиса</w:t>
      </w:r>
      <w:r w:rsidRPr="001C5422">
        <w:t xml:space="preserve"> указана в Тарифах Банка, оплата страховой премии производится со счета с использованием банковских карт в рублях. В случае, если валюта счета и </w:t>
      </w:r>
      <w:r w:rsidR="00351E21">
        <w:t>страхового полиса</w:t>
      </w:r>
      <w:r w:rsidRPr="001C5422">
        <w:t xml:space="preserve"> различны, производится конвертация суммы страховой премии по курсу Банка России на дату списания со счета.</w:t>
      </w:r>
    </w:p>
    <w:p w:rsidR="008E363F" w:rsidRPr="001C5422" w:rsidRDefault="008E363F" w:rsidP="00272EB2">
      <w:pPr>
        <w:ind w:firstLine="708"/>
        <w:jc w:val="both"/>
      </w:pPr>
      <w:r w:rsidRPr="001C5422">
        <w:t>Для получения</w:t>
      </w:r>
      <w:r w:rsidR="001974EB">
        <w:t xml:space="preserve"> срочной телемедицинской консультации дежурн</w:t>
      </w:r>
      <w:r w:rsidR="004901C0">
        <w:t>ого врача 24/7 и</w:t>
      </w:r>
      <w:r w:rsidR="001974EB">
        <w:t xml:space="preserve"> для организации медицинской помощи</w:t>
      </w:r>
      <w:r w:rsidRPr="001C5422">
        <w:t xml:space="preserve"> </w:t>
      </w:r>
      <w:r w:rsidR="004901C0">
        <w:t>в любое время суток</w:t>
      </w:r>
      <w:r w:rsidR="00C32A3F">
        <w:t xml:space="preserve"> </w:t>
      </w:r>
      <w:r w:rsidRPr="001C5422">
        <w:t xml:space="preserve">необходимо связаться с круглосуточным </w:t>
      </w:r>
      <w:r w:rsidR="00D253EB">
        <w:t>центром помощи с</w:t>
      </w:r>
      <w:r w:rsidRPr="001C5422">
        <w:t xml:space="preserve">ервисной компании по телефонам, указанным в </w:t>
      </w:r>
      <w:r w:rsidR="00351E21">
        <w:t>Международном страховом полисе</w:t>
      </w:r>
      <w:r w:rsidRPr="001C5422">
        <w:t xml:space="preserve"> и заявить о страховом сл</w:t>
      </w:r>
      <w:r w:rsidR="00D253EB">
        <w:t>учае, предоставив необходимую информацию.</w:t>
      </w:r>
      <w:r w:rsidRPr="001C5422">
        <w:t xml:space="preserve"> В дальнейшем следова</w:t>
      </w:r>
      <w:r w:rsidR="00383E07">
        <w:t xml:space="preserve">ть инструкциям и рекомендациям </w:t>
      </w:r>
      <w:r w:rsidR="00777FA8">
        <w:t>с</w:t>
      </w:r>
      <w:r w:rsidRPr="001C5422">
        <w:t>ервисной компании.</w:t>
      </w:r>
    </w:p>
    <w:p w:rsidR="00CB511C" w:rsidRDefault="00CB511C" w:rsidP="00272EB2">
      <w:pPr>
        <w:jc w:val="center"/>
        <w:rPr>
          <w:b/>
        </w:rPr>
      </w:pPr>
    </w:p>
    <w:p w:rsidR="00B03E8C" w:rsidRPr="00272EB2" w:rsidRDefault="008E363F" w:rsidP="00272EB2">
      <w:pPr>
        <w:jc w:val="center"/>
        <w:rPr>
          <w:b/>
        </w:rPr>
      </w:pPr>
      <w:r w:rsidRPr="00272EB2">
        <w:rPr>
          <w:b/>
        </w:rPr>
        <w:t xml:space="preserve">Страхование выезжающих за </w:t>
      </w:r>
      <w:r w:rsidR="00B03E8C" w:rsidRPr="00272EB2">
        <w:rPr>
          <w:b/>
        </w:rPr>
        <w:t>пределы постоянного места жительства</w:t>
      </w:r>
    </w:p>
    <w:p w:rsidR="00483042" w:rsidRPr="00272EB2" w:rsidRDefault="008E363F" w:rsidP="00272EB2">
      <w:pPr>
        <w:jc w:val="center"/>
        <w:rPr>
          <w:b/>
        </w:rPr>
      </w:pPr>
      <w:r w:rsidRPr="00272EB2">
        <w:rPr>
          <w:b/>
        </w:rPr>
        <w:t>стоит совсем недорого, но дает Вам и Вашим близким в поездке надежную страховую защиту!</w:t>
      </w:r>
      <w:bookmarkStart w:id="0" w:name="_GoBack"/>
      <w:bookmarkEnd w:id="0"/>
    </w:p>
    <w:sectPr w:rsidR="00483042" w:rsidRPr="00272EB2" w:rsidSect="008247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06" w:rsidRDefault="007E6E06" w:rsidP="00F53033">
      <w:r>
        <w:separator/>
      </w:r>
    </w:p>
  </w:endnote>
  <w:endnote w:type="continuationSeparator" w:id="0">
    <w:p w:rsidR="007E6E06" w:rsidRDefault="007E6E06" w:rsidP="00F5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06" w:rsidRDefault="007E6E06" w:rsidP="00F53033">
      <w:r>
        <w:separator/>
      </w:r>
    </w:p>
  </w:footnote>
  <w:footnote w:type="continuationSeparator" w:id="0">
    <w:p w:rsidR="007E6E06" w:rsidRDefault="007E6E06" w:rsidP="00F5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E781D"/>
    <w:multiLevelType w:val="hybridMultilevel"/>
    <w:tmpl w:val="803E63FC"/>
    <w:lvl w:ilvl="0" w:tplc="147AC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6A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271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A9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01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9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1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EC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E8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F"/>
    <w:rsid w:val="00014901"/>
    <w:rsid w:val="000B4368"/>
    <w:rsid w:val="000D6129"/>
    <w:rsid w:val="00110D0F"/>
    <w:rsid w:val="001974EB"/>
    <w:rsid w:val="001C5422"/>
    <w:rsid w:val="00231067"/>
    <w:rsid w:val="0023375D"/>
    <w:rsid w:val="00243E9A"/>
    <w:rsid w:val="002539CC"/>
    <w:rsid w:val="00272EB2"/>
    <w:rsid w:val="002D5E57"/>
    <w:rsid w:val="00307C32"/>
    <w:rsid w:val="003443FE"/>
    <w:rsid w:val="00351E21"/>
    <w:rsid w:val="00383E07"/>
    <w:rsid w:val="00384CF5"/>
    <w:rsid w:val="003D1D72"/>
    <w:rsid w:val="003F79E7"/>
    <w:rsid w:val="00415A25"/>
    <w:rsid w:val="00417827"/>
    <w:rsid w:val="00463729"/>
    <w:rsid w:val="004638BF"/>
    <w:rsid w:val="00483042"/>
    <w:rsid w:val="00485595"/>
    <w:rsid w:val="004901C0"/>
    <w:rsid w:val="004920FE"/>
    <w:rsid w:val="004F1F6C"/>
    <w:rsid w:val="005329E3"/>
    <w:rsid w:val="00544699"/>
    <w:rsid w:val="005A1579"/>
    <w:rsid w:val="005C32B9"/>
    <w:rsid w:val="005E7CDB"/>
    <w:rsid w:val="00610042"/>
    <w:rsid w:val="00650AC7"/>
    <w:rsid w:val="00703687"/>
    <w:rsid w:val="00777FA8"/>
    <w:rsid w:val="007E6B9F"/>
    <w:rsid w:val="007E6E06"/>
    <w:rsid w:val="0080529B"/>
    <w:rsid w:val="0082479E"/>
    <w:rsid w:val="00837A51"/>
    <w:rsid w:val="008B76FA"/>
    <w:rsid w:val="008E363F"/>
    <w:rsid w:val="008F2F4B"/>
    <w:rsid w:val="009263CA"/>
    <w:rsid w:val="009D7019"/>
    <w:rsid w:val="00A13BA1"/>
    <w:rsid w:val="00A47E80"/>
    <w:rsid w:val="00AC7098"/>
    <w:rsid w:val="00B03E8C"/>
    <w:rsid w:val="00B04328"/>
    <w:rsid w:val="00B245FC"/>
    <w:rsid w:val="00B703AB"/>
    <w:rsid w:val="00B73301"/>
    <w:rsid w:val="00BE00B4"/>
    <w:rsid w:val="00C32A3F"/>
    <w:rsid w:val="00CB511C"/>
    <w:rsid w:val="00CC44F8"/>
    <w:rsid w:val="00CD0DA4"/>
    <w:rsid w:val="00CE0121"/>
    <w:rsid w:val="00D253EB"/>
    <w:rsid w:val="00D46FC8"/>
    <w:rsid w:val="00E27E97"/>
    <w:rsid w:val="00E4570F"/>
    <w:rsid w:val="00E53A73"/>
    <w:rsid w:val="00E8094B"/>
    <w:rsid w:val="00F06740"/>
    <w:rsid w:val="00F52630"/>
    <w:rsid w:val="00F53033"/>
    <w:rsid w:val="00FF3037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29BE7D-ECEA-48C9-80FD-E19B5CF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63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3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8E363F"/>
    <w:rPr>
      <w:color w:val="0000FF"/>
      <w:u w:val="single"/>
    </w:rPr>
  </w:style>
  <w:style w:type="paragraph" w:styleId="a4">
    <w:name w:val="Normal (Web)"/>
    <w:basedOn w:val="a"/>
    <w:uiPriority w:val="99"/>
    <w:rsid w:val="008E363F"/>
    <w:pPr>
      <w:spacing w:before="100" w:beforeAutospacing="1" w:after="100" w:afterAutospacing="1"/>
    </w:pPr>
    <w:rPr>
      <w:rFonts w:ascii="Arial" w:hAnsi="Arial" w:cs="Arial"/>
      <w:color w:val="454545"/>
      <w:sz w:val="18"/>
      <w:szCs w:val="18"/>
    </w:rPr>
  </w:style>
  <w:style w:type="paragraph" w:customStyle="1" w:styleId="Default">
    <w:name w:val="Default"/>
    <w:rsid w:val="008E363F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3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6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F5303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5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NikolskayaOA</dc:creator>
  <cp:lastModifiedBy>Синельщикова Наталья Юрьевна</cp:lastModifiedBy>
  <cp:revision>2</cp:revision>
  <cp:lastPrinted>2022-12-12T13:08:00Z</cp:lastPrinted>
  <dcterms:created xsi:type="dcterms:W3CDTF">2022-12-12T13:08:00Z</dcterms:created>
  <dcterms:modified xsi:type="dcterms:W3CDTF">2022-12-12T13:08:00Z</dcterms:modified>
</cp:coreProperties>
</file>